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7174E2D" w14:textId="00908587" w:rsidR="00E046D1" w:rsidRDefault="00E046D1" w:rsidP="00E046D1">
      <w:pPr>
        <w:pStyle w:val="p1"/>
        <w:jc w:val="center"/>
        <w:outlineLvl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SUPPLEMENTARY INFORMATION</w:t>
      </w:r>
    </w:p>
    <w:p w14:paraId="435F4B0F" w14:textId="77777777" w:rsidR="00E046D1" w:rsidRDefault="00E046D1" w:rsidP="00E046D1">
      <w:pPr>
        <w:pStyle w:val="p1"/>
        <w:jc w:val="center"/>
        <w:outlineLvl w:val="0"/>
        <w:rPr>
          <w:b/>
          <w:bCs/>
          <w:sz w:val="24"/>
          <w:szCs w:val="24"/>
        </w:rPr>
      </w:pPr>
    </w:p>
    <w:p w14:paraId="1A05373D" w14:textId="77777777" w:rsidR="00E046D1" w:rsidRPr="00BF601E" w:rsidRDefault="00E046D1" w:rsidP="00E046D1">
      <w:pPr>
        <w:pStyle w:val="p1"/>
        <w:jc w:val="left"/>
        <w:outlineLvl w:val="0"/>
        <w:rPr>
          <w:sz w:val="24"/>
          <w:szCs w:val="24"/>
        </w:rPr>
      </w:pPr>
      <w:r w:rsidRPr="00BF601E">
        <w:rPr>
          <w:b/>
          <w:bCs/>
          <w:sz w:val="24"/>
          <w:szCs w:val="24"/>
        </w:rPr>
        <w:t>Profiling anti-Neu5Gc IgG in human sera by a sialoglycan microarray assay</w:t>
      </w:r>
      <w:r w:rsidRPr="00BF601E">
        <w:rPr>
          <w:rStyle w:val="apple-converted-space"/>
          <w:sz w:val="24"/>
          <w:szCs w:val="24"/>
        </w:rPr>
        <w:t> </w:t>
      </w:r>
    </w:p>
    <w:p w14:paraId="5524DCC0" w14:textId="77777777" w:rsidR="00E046D1" w:rsidRPr="00BF601E" w:rsidRDefault="00E046D1" w:rsidP="00E046D1">
      <w:pPr>
        <w:pStyle w:val="p2"/>
        <w:jc w:val="left"/>
        <w:rPr>
          <w:sz w:val="24"/>
          <w:szCs w:val="24"/>
        </w:rPr>
      </w:pPr>
    </w:p>
    <w:p w14:paraId="0235976F" w14:textId="77777777" w:rsidR="00E046D1" w:rsidRPr="00BF601E" w:rsidRDefault="00E046D1" w:rsidP="00E046D1">
      <w:pPr>
        <w:pStyle w:val="p3"/>
        <w:jc w:val="left"/>
        <w:outlineLvl w:val="0"/>
        <w:rPr>
          <w:sz w:val="24"/>
          <w:szCs w:val="24"/>
        </w:rPr>
      </w:pPr>
      <w:r w:rsidRPr="00BF601E">
        <w:rPr>
          <w:sz w:val="24"/>
          <w:szCs w:val="24"/>
        </w:rPr>
        <w:t>Shani Leviatan Ben-Arye</w:t>
      </w:r>
      <w:r w:rsidRPr="00BF601E">
        <w:rPr>
          <w:sz w:val="24"/>
          <w:szCs w:val="24"/>
          <w:vertAlign w:val="superscript"/>
        </w:rPr>
        <w:t>1</w:t>
      </w:r>
      <w:r w:rsidRPr="00BF601E">
        <w:rPr>
          <w:sz w:val="24"/>
          <w:szCs w:val="24"/>
        </w:rPr>
        <w:t>, Hai Yu</w:t>
      </w:r>
      <w:r w:rsidRPr="00BF601E">
        <w:rPr>
          <w:sz w:val="24"/>
          <w:szCs w:val="24"/>
          <w:vertAlign w:val="superscript"/>
        </w:rPr>
        <w:t>2</w:t>
      </w:r>
      <w:r w:rsidRPr="00BF601E">
        <w:rPr>
          <w:sz w:val="24"/>
          <w:szCs w:val="24"/>
        </w:rPr>
        <w:t>, Xi Chen</w:t>
      </w:r>
      <w:r w:rsidRPr="00BF601E">
        <w:rPr>
          <w:sz w:val="24"/>
          <w:szCs w:val="24"/>
          <w:vertAlign w:val="superscript"/>
        </w:rPr>
        <w:t>2</w:t>
      </w:r>
      <w:r w:rsidRPr="00BF601E">
        <w:rPr>
          <w:sz w:val="24"/>
          <w:szCs w:val="24"/>
        </w:rPr>
        <w:t xml:space="preserve"> and Vered Padler-Karavani</w:t>
      </w:r>
      <w:r w:rsidRPr="00BF601E">
        <w:rPr>
          <w:sz w:val="24"/>
          <w:szCs w:val="24"/>
          <w:vertAlign w:val="superscript"/>
        </w:rPr>
        <w:t>1</w:t>
      </w:r>
    </w:p>
    <w:p w14:paraId="5CFF1D18" w14:textId="77777777" w:rsidR="00E046D1" w:rsidRPr="00BF601E" w:rsidRDefault="00E046D1" w:rsidP="00E046D1">
      <w:pPr>
        <w:pStyle w:val="p2"/>
        <w:jc w:val="left"/>
        <w:rPr>
          <w:sz w:val="24"/>
          <w:szCs w:val="24"/>
        </w:rPr>
      </w:pPr>
    </w:p>
    <w:p w14:paraId="420BFC29" w14:textId="77777777" w:rsidR="00E046D1" w:rsidRPr="00BF601E" w:rsidRDefault="00E046D1" w:rsidP="00E046D1">
      <w:pPr>
        <w:pStyle w:val="p3"/>
        <w:jc w:val="left"/>
        <w:rPr>
          <w:sz w:val="24"/>
          <w:szCs w:val="24"/>
        </w:rPr>
      </w:pPr>
      <w:r w:rsidRPr="00BF601E">
        <w:rPr>
          <w:sz w:val="24"/>
          <w:szCs w:val="24"/>
          <w:vertAlign w:val="superscript"/>
        </w:rPr>
        <w:t>1</w:t>
      </w:r>
      <w:r w:rsidRPr="00BF601E">
        <w:rPr>
          <w:sz w:val="24"/>
          <w:szCs w:val="24"/>
        </w:rPr>
        <w:t xml:space="preserve">Department of Cell Research and Immunology, Tel Aviv University, Tel Aviv, 69978, Israel; </w:t>
      </w:r>
      <w:r w:rsidRPr="00BF601E">
        <w:rPr>
          <w:sz w:val="24"/>
          <w:szCs w:val="24"/>
          <w:vertAlign w:val="superscript"/>
        </w:rPr>
        <w:t>2</w:t>
      </w:r>
      <w:r w:rsidRPr="00BF601E">
        <w:rPr>
          <w:sz w:val="24"/>
          <w:szCs w:val="24"/>
        </w:rPr>
        <w:t>Department of Chemistry, University of California-Davis, Davis, CA 95616, USA</w:t>
      </w:r>
    </w:p>
    <w:p w14:paraId="60D58496" w14:textId="77777777" w:rsidR="00E046D1" w:rsidRPr="00BF601E" w:rsidRDefault="00E046D1" w:rsidP="00E046D1">
      <w:pPr>
        <w:pStyle w:val="p2"/>
        <w:jc w:val="left"/>
        <w:rPr>
          <w:sz w:val="24"/>
          <w:szCs w:val="24"/>
        </w:rPr>
      </w:pPr>
    </w:p>
    <w:p w14:paraId="7A4C6A92" w14:textId="77777777" w:rsidR="00E046D1" w:rsidRPr="00BF601E" w:rsidRDefault="00E046D1" w:rsidP="00E046D1">
      <w:pPr>
        <w:pStyle w:val="p3"/>
        <w:jc w:val="left"/>
        <w:outlineLvl w:val="0"/>
        <w:rPr>
          <w:sz w:val="24"/>
          <w:szCs w:val="24"/>
        </w:rPr>
      </w:pPr>
      <w:r w:rsidRPr="00BF601E">
        <w:rPr>
          <w:b/>
          <w:bCs/>
          <w:sz w:val="24"/>
          <w:szCs w:val="24"/>
        </w:rPr>
        <w:t>E-MAIL ADDRESSES:</w:t>
      </w:r>
      <w:r w:rsidRPr="00BF601E">
        <w:rPr>
          <w:rStyle w:val="apple-converted-space"/>
          <w:b/>
          <w:bCs/>
          <w:sz w:val="24"/>
          <w:szCs w:val="24"/>
        </w:rPr>
        <w:t> </w:t>
      </w:r>
    </w:p>
    <w:p w14:paraId="60A15B72" w14:textId="77777777" w:rsidR="00E046D1" w:rsidRPr="00BF601E" w:rsidRDefault="00E046D1" w:rsidP="00E046D1">
      <w:pPr>
        <w:pStyle w:val="p3"/>
        <w:jc w:val="left"/>
        <w:rPr>
          <w:sz w:val="24"/>
          <w:szCs w:val="24"/>
        </w:rPr>
      </w:pPr>
      <w:r w:rsidRPr="00BF601E">
        <w:rPr>
          <w:sz w:val="24"/>
          <w:szCs w:val="24"/>
        </w:rPr>
        <w:t>Shani Leviatan Ben-Arye</w:t>
      </w:r>
      <w:r w:rsidRPr="00BF601E">
        <w:rPr>
          <w:sz w:val="24"/>
          <w:szCs w:val="24"/>
          <w:vertAlign w:val="superscript"/>
        </w:rPr>
        <w:t xml:space="preserve"> </w:t>
      </w:r>
      <w:r w:rsidRPr="00BF601E">
        <w:rPr>
          <w:sz w:val="24"/>
          <w:szCs w:val="24"/>
        </w:rPr>
        <w:t>(leviata@post.tau.ac.il)</w:t>
      </w:r>
    </w:p>
    <w:p w14:paraId="293E20B9" w14:textId="77777777" w:rsidR="00E046D1" w:rsidRPr="00BF601E" w:rsidRDefault="00E046D1" w:rsidP="00E046D1">
      <w:pPr>
        <w:pStyle w:val="p3"/>
        <w:jc w:val="left"/>
        <w:rPr>
          <w:sz w:val="24"/>
          <w:szCs w:val="24"/>
        </w:rPr>
      </w:pPr>
      <w:r w:rsidRPr="00BF601E">
        <w:rPr>
          <w:sz w:val="24"/>
          <w:szCs w:val="24"/>
        </w:rPr>
        <w:t>Hai Yu</w:t>
      </w:r>
      <w:r w:rsidRPr="00BF601E">
        <w:rPr>
          <w:sz w:val="24"/>
          <w:szCs w:val="24"/>
          <w:vertAlign w:val="superscript"/>
        </w:rPr>
        <w:t xml:space="preserve"> </w:t>
      </w:r>
      <w:r w:rsidRPr="00BF601E">
        <w:rPr>
          <w:sz w:val="24"/>
          <w:szCs w:val="24"/>
        </w:rPr>
        <w:t>(hyu@ucdavis.edu)</w:t>
      </w:r>
    </w:p>
    <w:p w14:paraId="4F7A19CB" w14:textId="77777777" w:rsidR="00E046D1" w:rsidRPr="00BF601E" w:rsidRDefault="00E046D1" w:rsidP="00E046D1">
      <w:pPr>
        <w:pStyle w:val="p3"/>
        <w:jc w:val="left"/>
        <w:rPr>
          <w:sz w:val="24"/>
          <w:szCs w:val="24"/>
        </w:rPr>
      </w:pPr>
      <w:r w:rsidRPr="00BF601E">
        <w:rPr>
          <w:sz w:val="24"/>
          <w:szCs w:val="24"/>
        </w:rPr>
        <w:t>Xi Chen</w:t>
      </w:r>
      <w:r w:rsidRPr="00BF601E">
        <w:rPr>
          <w:sz w:val="24"/>
          <w:szCs w:val="24"/>
          <w:vertAlign w:val="superscript"/>
        </w:rPr>
        <w:t xml:space="preserve"> </w:t>
      </w:r>
      <w:r w:rsidRPr="00BF601E">
        <w:rPr>
          <w:sz w:val="24"/>
          <w:szCs w:val="24"/>
        </w:rPr>
        <w:t>(xiichen@ucdavis.edu)</w:t>
      </w:r>
    </w:p>
    <w:p w14:paraId="1A3C709E" w14:textId="77777777" w:rsidR="00E046D1" w:rsidRPr="00BF601E" w:rsidRDefault="00E046D1" w:rsidP="00E046D1">
      <w:pPr>
        <w:pStyle w:val="p3"/>
        <w:jc w:val="left"/>
        <w:rPr>
          <w:sz w:val="24"/>
          <w:szCs w:val="24"/>
        </w:rPr>
      </w:pPr>
      <w:r w:rsidRPr="00BF601E">
        <w:rPr>
          <w:sz w:val="24"/>
          <w:szCs w:val="24"/>
        </w:rPr>
        <w:t>Vered Padler-Karavani</w:t>
      </w:r>
      <w:r w:rsidRPr="00BF601E">
        <w:rPr>
          <w:sz w:val="24"/>
          <w:szCs w:val="24"/>
          <w:vertAlign w:val="superscript"/>
        </w:rPr>
        <w:t xml:space="preserve"> </w:t>
      </w:r>
      <w:r w:rsidRPr="00BF601E">
        <w:rPr>
          <w:sz w:val="24"/>
          <w:szCs w:val="24"/>
        </w:rPr>
        <w:t>(vkaravani@post.tau.ac.il)</w:t>
      </w:r>
    </w:p>
    <w:p w14:paraId="1BB91825" w14:textId="77777777" w:rsidR="00E046D1" w:rsidRPr="00BF601E" w:rsidRDefault="00E046D1" w:rsidP="00E046D1">
      <w:pPr>
        <w:pStyle w:val="p2"/>
        <w:jc w:val="left"/>
        <w:rPr>
          <w:sz w:val="24"/>
          <w:szCs w:val="24"/>
        </w:rPr>
      </w:pPr>
    </w:p>
    <w:p w14:paraId="26E00681" w14:textId="77777777" w:rsidR="00E046D1" w:rsidRPr="00BF601E" w:rsidRDefault="00E046D1" w:rsidP="00E046D1">
      <w:pPr>
        <w:pStyle w:val="p3"/>
        <w:jc w:val="left"/>
        <w:rPr>
          <w:sz w:val="24"/>
          <w:szCs w:val="24"/>
        </w:rPr>
      </w:pPr>
      <w:r w:rsidRPr="00BF601E">
        <w:rPr>
          <w:b/>
          <w:bCs/>
          <w:sz w:val="24"/>
          <w:szCs w:val="24"/>
        </w:rPr>
        <w:t>CORRESPONDING AUTHOR:</w:t>
      </w:r>
      <w:r w:rsidRPr="00BF601E">
        <w:rPr>
          <w:sz w:val="24"/>
          <w:szCs w:val="24"/>
        </w:rPr>
        <w:t xml:space="preserve"> Department of Cell Research &amp; Immunology, The George S. Wise Faculty of Life Sciences, Tel-Aviv University, Tel Aviv 69978 Israel. Tel: +972-3-640-6737. Fax: +972-3-642-2046. E-mail address: </w:t>
      </w:r>
      <w:hyperlink r:id="rId6" w:history="1">
        <w:r w:rsidRPr="00BF601E">
          <w:rPr>
            <w:rStyle w:val="Hyperlink"/>
            <w:sz w:val="24"/>
            <w:szCs w:val="24"/>
          </w:rPr>
          <w:t>vkaravani@post.tau.ac.il</w:t>
        </w:r>
      </w:hyperlink>
    </w:p>
    <w:p w14:paraId="7B664C24" w14:textId="77777777" w:rsidR="00E046D1" w:rsidRPr="00BF601E" w:rsidRDefault="00E046D1" w:rsidP="00E046D1">
      <w:pPr>
        <w:pStyle w:val="p2"/>
        <w:jc w:val="left"/>
        <w:rPr>
          <w:sz w:val="24"/>
          <w:szCs w:val="24"/>
        </w:rPr>
      </w:pPr>
    </w:p>
    <w:p w14:paraId="1E83F3A5" w14:textId="77777777" w:rsidR="00E046D1" w:rsidRPr="00BF601E" w:rsidRDefault="00E046D1" w:rsidP="00E046D1">
      <w:pPr>
        <w:pStyle w:val="p3"/>
        <w:jc w:val="left"/>
        <w:outlineLvl w:val="0"/>
        <w:rPr>
          <w:sz w:val="24"/>
          <w:szCs w:val="24"/>
        </w:rPr>
      </w:pPr>
      <w:r w:rsidRPr="00BF601E">
        <w:rPr>
          <w:b/>
          <w:bCs/>
          <w:sz w:val="24"/>
          <w:szCs w:val="24"/>
        </w:rPr>
        <w:t>KEYWORDS:</w:t>
      </w:r>
    </w:p>
    <w:p w14:paraId="4726D071" w14:textId="77777777" w:rsidR="00E046D1" w:rsidRPr="00BF601E" w:rsidRDefault="00E046D1" w:rsidP="00E046D1">
      <w:pPr>
        <w:pStyle w:val="p3"/>
        <w:jc w:val="left"/>
        <w:rPr>
          <w:sz w:val="24"/>
          <w:szCs w:val="24"/>
        </w:rPr>
      </w:pPr>
      <w:r w:rsidRPr="00BF601E">
        <w:rPr>
          <w:sz w:val="24"/>
          <w:szCs w:val="24"/>
        </w:rPr>
        <w:t xml:space="preserve">Sialic acid, </w:t>
      </w:r>
      <w:r w:rsidRPr="00BF601E">
        <w:rPr>
          <w:i/>
          <w:iCs/>
          <w:sz w:val="24"/>
          <w:szCs w:val="24"/>
        </w:rPr>
        <w:t>N</w:t>
      </w:r>
      <w:r w:rsidRPr="00BF601E">
        <w:rPr>
          <w:sz w:val="24"/>
          <w:szCs w:val="24"/>
        </w:rPr>
        <w:t xml:space="preserve">-acetylneuraminic acid, Neu5Ac, </w:t>
      </w:r>
      <w:r w:rsidRPr="00BF601E">
        <w:rPr>
          <w:i/>
          <w:iCs/>
          <w:sz w:val="24"/>
          <w:szCs w:val="24"/>
        </w:rPr>
        <w:t>N</w:t>
      </w:r>
      <w:r w:rsidRPr="00BF601E">
        <w:rPr>
          <w:sz w:val="24"/>
          <w:szCs w:val="24"/>
        </w:rPr>
        <w:t>-glycolylneuraminic acid, Neu5Gc, carbohydrate, antibodies, lectin, glycan microarray, cancer, diagnostics, high-throughput assay</w:t>
      </w:r>
    </w:p>
    <w:p w14:paraId="0A2B956D" w14:textId="77777777" w:rsidR="00E046D1" w:rsidRDefault="00E046D1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45103670" w14:textId="39CF4F13" w:rsidR="00E046D1" w:rsidRDefault="00E046D1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61195BED" w14:textId="56607966" w:rsidR="00E046D1" w:rsidRDefault="0065120F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lastRenderedPageBreak/>
        <w:drawing>
          <wp:inline distT="0" distB="0" distL="0" distR="0" wp14:anchorId="4E1E302C" wp14:editId="4D366714">
            <wp:extent cx="5727700" cy="5393690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 Fig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39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D5796" w14:textId="77777777" w:rsidR="0065120F" w:rsidRDefault="0065120F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0AE33890" w14:textId="679D98BE" w:rsidR="00F56E7C" w:rsidRPr="00BF601E" w:rsidRDefault="00F56E7C" w:rsidP="0065120F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>Supplementary Figure 1</w:t>
      </w:r>
      <w:r w:rsidR="0065120F" w:rsidRPr="004E75C8">
        <w:rPr>
          <w:b/>
          <w:bCs/>
          <w:color w:val="000000" w:themeColor="text1"/>
          <w:sz w:val="24"/>
          <w:szCs w:val="24"/>
        </w:rPr>
        <w:t>. Slide, Pins and Blocks l</w:t>
      </w:r>
      <w:r w:rsidRPr="004E75C8">
        <w:rPr>
          <w:b/>
          <w:bCs/>
          <w:color w:val="000000" w:themeColor="text1"/>
          <w:sz w:val="24"/>
          <w:szCs w:val="24"/>
        </w:rPr>
        <w:t>ayout. A)</w:t>
      </w:r>
      <w:r w:rsidR="0065120F" w:rsidRPr="004E75C8">
        <w:rPr>
          <w:color w:val="000000" w:themeColor="text1"/>
          <w:sz w:val="24"/>
          <w:szCs w:val="24"/>
        </w:rPr>
        <w:t xml:space="preserve"> Slide and p</w:t>
      </w:r>
      <w:r w:rsidRPr="004E75C8">
        <w:rPr>
          <w:color w:val="000000" w:themeColor="text1"/>
          <w:sz w:val="24"/>
          <w:szCs w:val="24"/>
        </w:rPr>
        <w:t xml:space="preserve">ins layout. Each </w:t>
      </w:r>
      <w:r w:rsidRPr="00BF601E">
        <w:rPr>
          <w:sz w:val="24"/>
          <w:szCs w:val="24"/>
        </w:rPr>
        <w:t xml:space="preserve">slide contains 16 Sub-arrays, also called Blocks (numbered B1, 2…16), each block </w:t>
      </w:r>
      <w:r w:rsidR="0065120F">
        <w:rPr>
          <w:sz w:val="24"/>
          <w:szCs w:val="24"/>
        </w:rPr>
        <w:t xml:space="preserve">contains </w:t>
      </w:r>
      <w:r w:rsidRPr="00BF601E">
        <w:rPr>
          <w:sz w:val="24"/>
          <w:szCs w:val="24"/>
        </w:rPr>
        <w:t xml:space="preserve">a complete array of 40 Sia-containing glycans, 6 points STD curve of human IgG and a fluorescence marker. </w:t>
      </w:r>
      <w:r w:rsidRPr="00BF601E">
        <w:rPr>
          <w:b/>
          <w:bCs/>
          <w:sz w:val="24"/>
          <w:szCs w:val="24"/>
        </w:rPr>
        <w:t>B)</w:t>
      </w:r>
      <w:r w:rsidRPr="00BF601E">
        <w:rPr>
          <w:sz w:val="24"/>
          <w:szCs w:val="24"/>
        </w:rPr>
        <w:t xml:space="preserve"> Block layout of 12 columns and 18 rows. Each sample is printed in 4 replicates. Numbers in</w:t>
      </w:r>
      <w:r w:rsidR="0065120F">
        <w:rPr>
          <w:sz w:val="24"/>
          <w:szCs w:val="24"/>
        </w:rPr>
        <w:t>dicate Glycan ID (1 to 40; T</w:t>
      </w:r>
      <w:r w:rsidRPr="00BF601E">
        <w:rPr>
          <w:sz w:val="24"/>
          <w:szCs w:val="24"/>
        </w:rPr>
        <w:t xml:space="preserve">able 1), </w:t>
      </w:r>
      <w:r w:rsidR="0065120F">
        <w:rPr>
          <w:sz w:val="24"/>
          <w:szCs w:val="24"/>
        </w:rPr>
        <w:t xml:space="preserve">printed </w:t>
      </w:r>
      <w:r w:rsidRPr="00BF601E">
        <w:rPr>
          <w:sz w:val="24"/>
          <w:szCs w:val="24"/>
        </w:rPr>
        <w:t>bu</w:t>
      </w:r>
      <w:r w:rsidR="0065120F">
        <w:rPr>
          <w:sz w:val="24"/>
          <w:szCs w:val="24"/>
        </w:rPr>
        <w:t>ffer is 300 mM p</w:t>
      </w:r>
      <w:r w:rsidRPr="00BF601E">
        <w:rPr>
          <w:sz w:val="24"/>
          <w:szCs w:val="24"/>
        </w:rPr>
        <w:t xml:space="preserve">hosphate buffer, human IgG (hIgG) STD curve is in 6 increasing concentration (from 2.5 to 80 ng/µl). Marker spots are </w:t>
      </w:r>
      <w:r w:rsidR="0065120F">
        <w:rPr>
          <w:sz w:val="24"/>
          <w:szCs w:val="24"/>
        </w:rPr>
        <w:t>located at</w:t>
      </w:r>
      <w:r w:rsidRPr="00BF601E">
        <w:rPr>
          <w:sz w:val="24"/>
          <w:szCs w:val="24"/>
        </w:rPr>
        <w:t xml:space="preserve"> the bottom right corner of the array </w:t>
      </w:r>
      <w:r w:rsidR="0065120F">
        <w:rPr>
          <w:sz w:val="24"/>
          <w:szCs w:val="24"/>
        </w:rPr>
        <w:t>to simplify grid alignment</w:t>
      </w:r>
      <w:r w:rsidRPr="00BF601E">
        <w:rPr>
          <w:sz w:val="24"/>
          <w:szCs w:val="24"/>
        </w:rPr>
        <w:t xml:space="preserve">. </w:t>
      </w:r>
      <w:r w:rsidRPr="00BF601E">
        <w:rPr>
          <w:b/>
          <w:bCs/>
          <w:sz w:val="24"/>
          <w:szCs w:val="24"/>
        </w:rPr>
        <w:t>C)</w:t>
      </w:r>
      <w:r w:rsidRPr="00BF601E">
        <w:rPr>
          <w:sz w:val="24"/>
          <w:szCs w:val="24"/>
        </w:rPr>
        <w:t xml:space="preserve"> Plat</w:t>
      </w:r>
      <w:r w:rsidR="0065120F">
        <w:rPr>
          <w:sz w:val="24"/>
          <w:szCs w:val="24"/>
        </w:rPr>
        <w:t>e</w:t>
      </w:r>
      <w:r w:rsidRPr="00BF601E">
        <w:rPr>
          <w:sz w:val="24"/>
          <w:szCs w:val="24"/>
        </w:rPr>
        <w:t xml:space="preserve"> Layout. Each sample is aliquoted into 4 wells (7</w:t>
      </w:r>
      <w:r w:rsidR="0065120F">
        <w:rPr>
          <w:sz w:val="24"/>
          <w:szCs w:val="24"/>
        </w:rPr>
        <w:t xml:space="preserve"> µl each), one</w:t>
      </w:r>
      <w:r w:rsidRPr="00BF601E">
        <w:rPr>
          <w:sz w:val="24"/>
          <w:szCs w:val="24"/>
        </w:rPr>
        <w:t xml:space="preserve"> for each pin. The gray columns </w:t>
      </w:r>
      <w:r w:rsidR="0065120F">
        <w:rPr>
          <w:sz w:val="24"/>
          <w:szCs w:val="24"/>
        </w:rPr>
        <w:t>ar</w:t>
      </w:r>
      <w:r w:rsidRPr="00BF601E">
        <w:rPr>
          <w:sz w:val="24"/>
          <w:szCs w:val="24"/>
        </w:rPr>
        <w:t xml:space="preserve">e used by Pin 1, Green columns by Pin 2, Blue columns by Pin 3 and Yellow </w:t>
      </w:r>
      <w:r w:rsidR="0065120F" w:rsidRPr="00BF601E">
        <w:rPr>
          <w:sz w:val="24"/>
          <w:szCs w:val="24"/>
        </w:rPr>
        <w:t xml:space="preserve">columns </w:t>
      </w:r>
      <w:r w:rsidRPr="00BF601E">
        <w:rPr>
          <w:sz w:val="24"/>
          <w:szCs w:val="24"/>
        </w:rPr>
        <w:t>by Pin 4.</w:t>
      </w:r>
    </w:p>
    <w:p w14:paraId="49FD9F44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23F9B14D" w14:textId="3D13AF9D" w:rsidR="0065120F" w:rsidRDefault="0065120F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3744EF4E" w14:textId="017DE29C" w:rsidR="0065120F" w:rsidRDefault="0065120F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556B3710" wp14:editId="60FFABE7">
            <wp:extent cx="5727700" cy="3882390"/>
            <wp:effectExtent l="0" t="0" r="1270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 Fig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8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D51EF" w14:textId="77777777" w:rsidR="0065120F" w:rsidRDefault="0065120F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21D3D1F5" w14:textId="4B729F13" w:rsidR="00F56E7C" w:rsidRPr="00BF601E" w:rsidRDefault="00F56E7C" w:rsidP="00F56E7C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>Supplementary Figure 2. Setting Method Properties</w:t>
      </w:r>
      <w:r w:rsidRPr="004E75C8">
        <w:rPr>
          <w:color w:val="000000" w:themeColor="text1"/>
          <w:sz w:val="24"/>
          <w:szCs w:val="24"/>
        </w:rPr>
        <w:t xml:space="preserve">. The worktable layout is defined </w:t>
      </w:r>
      <w:r w:rsidRPr="00BF601E">
        <w:rPr>
          <w:sz w:val="24"/>
          <w:szCs w:val="24"/>
        </w:rPr>
        <w:t xml:space="preserve">according to the type of 384-well plate and number of slides </w:t>
      </w:r>
      <w:r w:rsidR="0065120F">
        <w:rPr>
          <w:sz w:val="24"/>
          <w:szCs w:val="24"/>
        </w:rPr>
        <w:t xml:space="preserve">to be </w:t>
      </w:r>
      <w:r w:rsidRPr="00BF601E">
        <w:rPr>
          <w:sz w:val="24"/>
          <w:szCs w:val="24"/>
        </w:rPr>
        <w:t>printed. The Pin configuration is set to 4 pins of 9 mm and the Pin type is calculated to have 132 spots per dip. The washes are normal washes (4 cycles of sonication, washing and drying).</w:t>
      </w:r>
    </w:p>
    <w:p w14:paraId="562A5B86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6D4AB255" w14:textId="77777777" w:rsidR="002E1C86" w:rsidRDefault="002E1C86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65A863C8" w14:textId="58BBAA0B" w:rsidR="002E1C86" w:rsidRDefault="002E1C86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327747FB" wp14:editId="247324AB">
            <wp:extent cx="5727700" cy="4089400"/>
            <wp:effectExtent l="0" t="0" r="1270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 Fig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27E73" w14:textId="77777777" w:rsidR="002E1C86" w:rsidRDefault="002E1C86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3206145F" w14:textId="65C2374D" w:rsidR="00F56E7C" w:rsidRPr="00BF601E" w:rsidRDefault="00F56E7C" w:rsidP="002E1C86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 xml:space="preserve">Supplementary Figure 3. </w:t>
      </w:r>
      <w:r w:rsidR="002E1C86" w:rsidRPr="004E75C8">
        <w:rPr>
          <w:b/>
          <w:bCs/>
          <w:color w:val="000000" w:themeColor="text1"/>
          <w:sz w:val="24"/>
          <w:szCs w:val="24"/>
        </w:rPr>
        <w:t>Defining</w:t>
      </w:r>
      <w:r w:rsidRPr="004E75C8">
        <w:rPr>
          <w:b/>
          <w:bCs/>
          <w:color w:val="000000" w:themeColor="text1"/>
          <w:sz w:val="24"/>
          <w:szCs w:val="24"/>
        </w:rPr>
        <w:t xml:space="preserve"> sampling pattern</w:t>
      </w:r>
      <w:r w:rsidRPr="004E75C8">
        <w:rPr>
          <w:color w:val="000000" w:themeColor="text1"/>
          <w:sz w:val="24"/>
          <w:szCs w:val="24"/>
        </w:rPr>
        <w:t xml:space="preserve">. In order to determine the order of </w:t>
      </w:r>
      <w:r w:rsidRPr="00BF601E">
        <w:rPr>
          <w:sz w:val="24"/>
          <w:szCs w:val="24"/>
        </w:rPr>
        <w:t xml:space="preserve">uptakes from the 384-well plate, a sampling pattern is defined and saved as </w:t>
      </w:r>
      <w:r w:rsidR="002E1C86">
        <w:rPr>
          <w:sz w:val="24"/>
          <w:szCs w:val="24"/>
        </w:rPr>
        <w:t xml:space="preserve">a source </w:t>
      </w:r>
      <w:r w:rsidRPr="00BF601E">
        <w:rPr>
          <w:sz w:val="24"/>
          <w:szCs w:val="24"/>
        </w:rPr>
        <w:t>plate with a name. This plate sampling order is then entered to the Plate List window.</w:t>
      </w:r>
      <w:r w:rsidRPr="00BF601E">
        <w:rPr>
          <w:rStyle w:val="apple-converted-space"/>
          <w:sz w:val="24"/>
          <w:szCs w:val="24"/>
        </w:rPr>
        <w:t> </w:t>
      </w:r>
    </w:p>
    <w:p w14:paraId="2E48618C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65DA4050" w14:textId="77777777" w:rsidR="002E1C86" w:rsidRDefault="002E1C86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00E23CAB" w14:textId="263A8C24" w:rsidR="002E1C86" w:rsidRDefault="002E1C86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2F1F17CE" wp14:editId="6FD82D6C">
            <wp:extent cx="5727700" cy="4312285"/>
            <wp:effectExtent l="0" t="0" r="1270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 Fig4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38A9C" w14:textId="77777777" w:rsidR="002E1C86" w:rsidRDefault="002E1C86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29D2F3F4" w14:textId="1C473BB7" w:rsidR="00F56E7C" w:rsidRPr="00BF601E" w:rsidRDefault="00F56E7C" w:rsidP="00F56E7C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>Supplementary Figure 4. Schematic illustration of the 4 upper sub-arrays on the slide</w:t>
      </w:r>
      <w:r w:rsidR="002E1C86" w:rsidRPr="004E75C8">
        <w:rPr>
          <w:color w:val="000000" w:themeColor="text1"/>
          <w:sz w:val="24"/>
          <w:szCs w:val="24"/>
        </w:rPr>
        <w:t xml:space="preserve">. </w:t>
      </w:r>
      <w:r w:rsidR="002E1C86">
        <w:rPr>
          <w:sz w:val="24"/>
          <w:szCs w:val="24"/>
        </w:rPr>
        <w:t>Each Sub-array has</w:t>
      </w:r>
      <w:r w:rsidRPr="00BF601E">
        <w:rPr>
          <w:sz w:val="24"/>
          <w:szCs w:val="24"/>
        </w:rPr>
        <w:t xml:space="preserve"> 12 columns and 18 rows and the distanc</w:t>
      </w:r>
      <w:r w:rsidR="002E1C86">
        <w:rPr>
          <w:sz w:val="24"/>
          <w:szCs w:val="24"/>
        </w:rPr>
        <w:t>es can be calculated since the slide d</w:t>
      </w:r>
      <w:r w:rsidRPr="00BF601E">
        <w:rPr>
          <w:sz w:val="24"/>
          <w:szCs w:val="24"/>
        </w:rPr>
        <w:t xml:space="preserve">ivider creates wells of 7 </w:t>
      </w:r>
      <w:r w:rsidRPr="00BF601E">
        <w:rPr>
          <w:sz w:val="24"/>
          <w:szCs w:val="24"/>
        </w:rPr>
        <w:sym w:font="Symbol" w:char="F0B4"/>
      </w:r>
      <w:r w:rsidR="002E1C86">
        <w:rPr>
          <w:sz w:val="24"/>
          <w:szCs w:val="24"/>
        </w:rPr>
        <w:t xml:space="preserve"> 7 mm and has</w:t>
      </w:r>
      <w:r w:rsidRPr="00BF601E">
        <w:rPr>
          <w:sz w:val="24"/>
          <w:szCs w:val="24"/>
        </w:rPr>
        <w:t xml:space="preserve"> 2 mm spacing between wells. Therefore, the overall distance between two blocks is 9 mm and the distances between </w:t>
      </w:r>
      <w:r w:rsidR="00277F71">
        <w:rPr>
          <w:sz w:val="24"/>
          <w:szCs w:val="24"/>
        </w:rPr>
        <w:t xml:space="preserve">two </w:t>
      </w:r>
      <w:r w:rsidRPr="00BF601E">
        <w:rPr>
          <w:sz w:val="24"/>
          <w:szCs w:val="24"/>
        </w:rPr>
        <w:t xml:space="preserve">Sub-Arrays </w:t>
      </w:r>
      <w:r w:rsidR="00277F71">
        <w:rPr>
          <w:sz w:val="24"/>
          <w:szCs w:val="24"/>
        </w:rPr>
        <w:t xml:space="preserve">is </w:t>
      </w:r>
      <w:r w:rsidRPr="00BF601E">
        <w:rPr>
          <w:sz w:val="24"/>
          <w:szCs w:val="24"/>
        </w:rPr>
        <w:t>9 mm minus the array size (vertical and horizontal).</w:t>
      </w:r>
    </w:p>
    <w:p w14:paraId="1CE5A50B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3F39A363" w14:textId="77777777" w:rsidR="00277F71" w:rsidRDefault="00277F71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213DF33F" w14:textId="5E2F8477" w:rsidR="00277F71" w:rsidRDefault="00277F71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5FF9AF48" wp14:editId="3F67CF8A">
            <wp:extent cx="5727700" cy="3929380"/>
            <wp:effectExtent l="0" t="0" r="1270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 Fig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2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1BE6C" w14:textId="77777777" w:rsidR="00277F71" w:rsidRDefault="00277F71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30F962D3" w14:textId="78B83658" w:rsidR="00F56E7C" w:rsidRPr="00BF601E" w:rsidRDefault="00F56E7C" w:rsidP="00277F71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>Supplementary Figure 5. Microarray Print Design.</w:t>
      </w:r>
      <w:r w:rsidRPr="004E75C8">
        <w:rPr>
          <w:color w:val="000000" w:themeColor="text1"/>
          <w:sz w:val="24"/>
          <w:szCs w:val="24"/>
        </w:rPr>
        <w:t xml:space="preserve"> In order to </w:t>
      </w:r>
      <w:r w:rsidR="00277F71" w:rsidRPr="004E75C8">
        <w:rPr>
          <w:color w:val="000000" w:themeColor="text1"/>
          <w:sz w:val="24"/>
          <w:szCs w:val="24"/>
        </w:rPr>
        <w:t>define</w:t>
      </w:r>
      <w:r w:rsidRPr="004E75C8">
        <w:rPr>
          <w:color w:val="000000" w:themeColor="text1"/>
          <w:sz w:val="24"/>
          <w:szCs w:val="24"/>
        </w:rPr>
        <w:t xml:space="preserve"> Print design the </w:t>
      </w:r>
      <w:r w:rsidRPr="00BF601E">
        <w:rPr>
          <w:sz w:val="24"/>
          <w:szCs w:val="24"/>
        </w:rPr>
        <w:t>block layout information, distances, slide dimensions and printing options is set.</w:t>
      </w:r>
    </w:p>
    <w:p w14:paraId="6A510B99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6A0ED61B" w14:textId="77777777" w:rsidR="00277F71" w:rsidRDefault="00277F71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5638AEF6" w14:textId="3B810DB3" w:rsidR="00277F71" w:rsidRDefault="00277F71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60F76C75" wp14:editId="1654D36A">
            <wp:extent cx="5727700" cy="3710940"/>
            <wp:effectExtent l="0" t="0" r="1270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p Fig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F4B4C" w14:textId="77777777" w:rsidR="00277F71" w:rsidRDefault="00277F71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4236C958" w14:textId="4E09D3CA" w:rsidR="00F56E7C" w:rsidRPr="00BF601E" w:rsidRDefault="00F56E7C" w:rsidP="00F56E7C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>Supplementary Figure 6. Validation of method and saving as .arr file.</w:t>
      </w:r>
      <w:r w:rsidRPr="004E75C8">
        <w:rPr>
          <w:color w:val="000000" w:themeColor="text1"/>
          <w:sz w:val="24"/>
          <w:szCs w:val="24"/>
        </w:rPr>
        <w:t xml:space="preserve"> The method </w:t>
      </w:r>
      <w:r w:rsidRPr="00BF601E">
        <w:rPr>
          <w:sz w:val="24"/>
          <w:szCs w:val="24"/>
        </w:rPr>
        <w:t>programing must be validated and saved.</w:t>
      </w:r>
    </w:p>
    <w:p w14:paraId="4AD709DD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7480F425" w14:textId="77777777" w:rsidR="00277F71" w:rsidRDefault="00277F71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12231FB0" w14:textId="122C6B75" w:rsidR="00277F71" w:rsidRDefault="00277F71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4D232A6A" wp14:editId="7425A0A0">
            <wp:extent cx="5727700" cy="5442585"/>
            <wp:effectExtent l="0" t="0" r="1270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 Fig7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44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01A2D" w14:textId="77777777" w:rsidR="00277F71" w:rsidRDefault="00277F71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36A23568" w14:textId="6E734740" w:rsidR="00F56E7C" w:rsidRPr="00BF601E" w:rsidRDefault="00F56E7C" w:rsidP="00F56E7C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>Supplementary Figure 7. Print initiation steps</w:t>
      </w:r>
      <w:r w:rsidRPr="004E75C8">
        <w:rPr>
          <w:color w:val="000000" w:themeColor="text1"/>
          <w:sz w:val="24"/>
          <w:szCs w:val="24"/>
        </w:rPr>
        <w:t xml:space="preserve">. </w:t>
      </w:r>
      <w:r w:rsidRPr="004E75C8">
        <w:rPr>
          <w:b/>
          <w:bCs/>
          <w:color w:val="000000" w:themeColor="text1"/>
          <w:sz w:val="24"/>
          <w:szCs w:val="24"/>
        </w:rPr>
        <w:t>A)</w:t>
      </w:r>
      <w:r w:rsidRPr="004E75C8">
        <w:rPr>
          <w:color w:val="000000" w:themeColor="text1"/>
          <w:sz w:val="24"/>
          <w:szCs w:val="24"/>
        </w:rPr>
        <w:t xml:space="preserve"> left to right: Wash buffer carboy to be </w:t>
      </w:r>
      <w:r w:rsidRPr="00BF601E">
        <w:rPr>
          <w:sz w:val="24"/>
          <w:szCs w:val="24"/>
        </w:rPr>
        <w:t xml:space="preserve">filled with DIW, Wash bottle (Drain) Carboy to be drained, Humidification trap to be drained, DIW for humidification to be filled and humidification machine control. </w:t>
      </w:r>
      <w:r w:rsidRPr="00BF601E">
        <w:rPr>
          <w:b/>
          <w:bCs/>
          <w:sz w:val="24"/>
          <w:szCs w:val="24"/>
        </w:rPr>
        <w:t>B)</w:t>
      </w:r>
      <w:r w:rsidRPr="00BF601E">
        <w:rPr>
          <w:sz w:val="24"/>
          <w:szCs w:val="24"/>
        </w:rPr>
        <w:t xml:space="preserve"> Control panel of the </w:t>
      </w:r>
      <w:r>
        <w:rPr>
          <w:sz w:val="24"/>
          <w:szCs w:val="24"/>
        </w:rPr>
        <w:t>‘</w:t>
      </w:r>
      <w:r w:rsidRPr="00BF601E">
        <w:rPr>
          <w:sz w:val="24"/>
          <w:szCs w:val="24"/>
        </w:rPr>
        <w:t>Microarray Manager</w:t>
      </w:r>
      <w:r>
        <w:rPr>
          <w:sz w:val="24"/>
          <w:szCs w:val="24"/>
        </w:rPr>
        <w:t>’</w:t>
      </w:r>
      <w:r w:rsidRPr="00BF601E">
        <w:rPr>
          <w:sz w:val="24"/>
          <w:szCs w:val="24"/>
        </w:rPr>
        <w:t xml:space="preserve"> software. Numbers indicating the steps needed to be done in order to initiate pins loading. </w:t>
      </w:r>
      <w:r w:rsidRPr="00BF601E">
        <w:rPr>
          <w:b/>
          <w:bCs/>
          <w:sz w:val="24"/>
          <w:szCs w:val="24"/>
        </w:rPr>
        <w:t>C)</w:t>
      </w:r>
      <w:r w:rsidRPr="00BF601E">
        <w:rPr>
          <w:sz w:val="24"/>
          <w:szCs w:val="24"/>
        </w:rPr>
        <w:t xml:space="preserve"> Print-head. Numbers indicate the specific location of the 4 pins that </w:t>
      </w:r>
      <w:r w:rsidR="003E7E24">
        <w:rPr>
          <w:sz w:val="24"/>
          <w:szCs w:val="24"/>
        </w:rPr>
        <w:t xml:space="preserve">are </w:t>
      </w:r>
      <w:r w:rsidRPr="00BF601E">
        <w:rPr>
          <w:sz w:val="24"/>
          <w:szCs w:val="24"/>
        </w:rPr>
        <w:t xml:space="preserve">suitable for the </w:t>
      </w:r>
      <w:r w:rsidR="003E7E24">
        <w:rPr>
          <w:sz w:val="24"/>
          <w:szCs w:val="24"/>
        </w:rPr>
        <w:t xml:space="preserve">define </w:t>
      </w:r>
      <w:r w:rsidRPr="00BF601E">
        <w:rPr>
          <w:sz w:val="24"/>
          <w:szCs w:val="24"/>
        </w:rPr>
        <w:t xml:space="preserve">printing layout. </w:t>
      </w:r>
      <w:r w:rsidRPr="00BF601E">
        <w:rPr>
          <w:b/>
          <w:bCs/>
          <w:sz w:val="24"/>
          <w:szCs w:val="24"/>
        </w:rPr>
        <w:t>D)</w:t>
      </w:r>
      <w:r w:rsidRPr="00BF601E">
        <w:rPr>
          <w:sz w:val="24"/>
          <w:szCs w:val="24"/>
        </w:rPr>
        <w:t xml:space="preserve"> Slide placing illustration on the array deck.</w:t>
      </w:r>
    </w:p>
    <w:p w14:paraId="07E7B39F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1657F42C" w14:textId="77777777" w:rsidR="003E7E24" w:rsidRDefault="003E7E24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473EEE30" w14:textId="6165A661" w:rsidR="003E7E24" w:rsidRDefault="003E7E24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13ACC576" wp14:editId="42F4C065">
            <wp:extent cx="5727700" cy="1877060"/>
            <wp:effectExtent l="0" t="0" r="1270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upp Fig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AB13" w14:textId="77777777" w:rsidR="003E7E24" w:rsidRDefault="003E7E24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5EE29042" w14:textId="57814C46" w:rsidR="00F56E7C" w:rsidRPr="00BF601E" w:rsidRDefault="00F56E7C" w:rsidP="00F56E7C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>Supplementary Figure 8. Staining tools for developing the slide</w:t>
      </w:r>
      <w:r w:rsidRPr="004E75C8">
        <w:rPr>
          <w:color w:val="000000" w:themeColor="text1"/>
          <w:sz w:val="24"/>
          <w:szCs w:val="24"/>
        </w:rPr>
        <w:t>.</w:t>
      </w:r>
      <w:r w:rsidRPr="004E75C8">
        <w:rPr>
          <w:b/>
          <w:bCs/>
          <w:color w:val="000000" w:themeColor="text1"/>
          <w:sz w:val="24"/>
          <w:szCs w:val="24"/>
        </w:rPr>
        <w:t xml:space="preserve"> A) </w:t>
      </w:r>
      <w:r w:rsidRPr="004E75C8">
        <w:rPr>
          <w:color w:val="000000" w:themeColor="text1"/>
          <w:sz w:val="24"/>
          <w:szCs w:val="24"/>
        </w:rPr>
        <w:t xml:space="preserve">Staining 50 ml tube. </w:t>
      </w:r>
      <w:r w:rsidRPr="00BF601E">
        <w:rPr>
          <w:b/>
          <w:bCs/>
          <w:sz w:val="24"/>
          <w:szCs w:val="24"/>
        </w:rPr>
        <w:t xml:space="preserve">B) </w:t>
      </w:r>
      <w:r w:rsidRPr="00BF601E">
        <w:rPr>
          <w:sz w:val="24"/>
          <w:szCs w:val="24"/>
        </w:rPr>
        <w:t>Glass</w:t>
      </w:r>
      <w:r w:rsidRPr="00BF601E">
        <w:rPr>
          <w:b/>
          <w:bCs/>
          <w:sz w:val="24"/>
          <w:szCs w:val="24"/>
        </w:rPr>
        <w:t xml:space="preserve"> </w:t>
      </w:r>
      <w:r w:rsidRPr="00BF601E">
        <w:rPr>
          <w:sz w:val="24"/>
          <w:szCs w:val="24"/>
        </w:rPr>
        <w:t xml:space="preserve">Staining holder. </w:t>
      </w:r>
      <w:r w:rsidRPr="00BF601E">
        <w:rPr>
          <w:b/>
          <w:bCs/>
          <w:sz w:val="24"/>
          <w:szCs w:val="24"/>
        </w:rPr>
        <w:t xml:space="preserve">C) </w:t>
      </w:r>
      <w:r w:rsidRPr="00BF601E">
        <w:rPr>
          <w:sz w:val="24"/>
          <w:szCs w:val="24"/>
        </w:rPr>
        <w:t xml:space="preserve">ProPlate 16-well divider. </w:t>
      </w:r>
      <w:r w:rsidRPr="00BF601E">
        <w:rPr>
          <w:b/>
          <w:bCs/>
          <w:sz w:val="24"/>
          <w:szCs w:val="24"/>
        </w:rPr>
        <w:t xml:space="preserve">D) </w:t>
      </w:r>
      <w:r w:rsidRPr="00BF601E">
        <w:rPr>
          <w:sz w:val="24"/>
          <w:szCs w:val="24"/>
        </w:rPr>
        <w:t>Staining bath.</w:t>
      </w:r>
      <w:r w:rsidRPr="00BF601E">
        <w:rPr>
          <w:rStyle w:val="apple-converted-space"/>
          <w:sz w:val="24"/>
          <w:szCs w:val="24"/>
        </w:rPr>
        <w:t> </w:t>
      </w:r>
    </w:p>
    <w:p w14:paraId="34C52857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40679B22" w14:textId="77777777" w:rsidR="003E7E24" w:rsidRDefault="003E7E24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61B72B03" w14:textId="70FC79B5" w:rsidR="003E7E24" w:rsidRDefault="003E7E24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20D60D8A" wp14:editId="1276B444">
            <wp:extent cx="5727700" cy="4445635"/>
            <wp:effectExtent l="0" t="0" r="1270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pp Fig9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44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E47F4" w14:textId="77777777" w:rsidR="003E7E24" w:rsidRDefault="003E7E24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0AA96ED2" w14:textId="180DA62C" w:rsidR="00F56E7C" w:rsidRPr="00BF601E" w:rsidRDefault="00F56E7C" w:rsidP="003E7E24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>Supplementary Figure 9. Setting scanning parameters. A</w:t>
      </w:r>
      <w:r w:rsidR="003E7E24" w:rsidRPr="004E75C8">
        <w:rPr>
          <w:color w:val="000000" w:themeColor="text1"/>
          <w:sz w:val="24"/>
          <w:szCs w:val="24"/>
        </w:rPr>
        <w:t>) One or two w</w:t>
      </w:r>
      <w:r w:rsidRPr="004E75C8">
        <w:rPr>
          <w:color w:val="000000" w:themeColor="text1"/>
          <w:sz w:val="24"/>
          <w:szCs w:val="24"/>
        </w:rPr>
        <w:t xml:space="preserve">avelength can be </w:t>
      </w:r>
      <w:r w:rsidR="003E7E24">
        <w:rPr>
          <w:sz w:val="24"/>
          <w:szCs w:val="24"/>
        </w:rPr>
        <w:t>selected</w:t>
      </w:r>
      <w:r w:rsidRPr="00BF601E">
        <w:rPr>
          <w:sz w:val="24"/>
          <w:szCs w:val="24"/>
        </w:rPr>
        <w:t xml:space="preserve"> </w:t>
      </w:r>
      <w:r w:rsidR="003E7E24">
        <w:rPr>
          <w:sz w:val="24"/>
          <w:szCs w:val="24"/>
        </w:rPr>
        <w:t>then</w:t>
      </w:r>
      <w:r w:rsidRPr="00BF601E">
        <w:rPr>
          <w:sz w:val="24"/>
          <w:szCs w:val="24"/>
        </w:rPr>
        <w:t xml:space="preserve"> the power and </w:t>
      </w:r>
      <w:r w:rsidR="003E7E24">
        <w:rPr>
          <w:sz w:val="24"/>
          <w:szCs w:val="24"/>
        </w:rPr>
        <w:t xml:space="preserve">gain </w:t>
      </w:r>
      <w:r w:rsidRPr="00BF601E">
        <w:rPr>
          <w:sz w:val="24"/>
          <w:szCs w:val="24"/>
        </w:rPr>
        <w:t xml:space="preserve">are set after calibration. The focus position is set to 0 and Line to average to 1. These parameters can be adjusted </w:t>
      </w:r>
      <w:r w:rsidR="003E7E24">
        <w:rPr>
          <w:sz w:val="24"/>
          <w:szCs w:val="24"/>
        </w:rPr>
        <w:t>to fit different experiments</w:t>
      </w:r>
      <w:r w:rsidRPr="00BF601E">
        <w:rPr>
          <w:b/>
          <w:bCs/>
          <w:sz w:val="24"/>
          <w:szCs w:val="24"/>
        </w:rPr>
        <w:t xml:space="preserve">. B) </w:t>
      </w:r>
      <w:r w:rsidRPr="00BF601E">
        <w:rPr>
          <w:sz w:val="24"/>
          <w:szCs w:val="24"/>
        </w:rPr>
        <w:t>Start scanning</w:t>
      </w:r>
      <w:r w:rsidRPr="00BF601E">
        <w:rPr>
          <w:b/>
          <w:bCs/>
          <w:sz w:val="24"/>
          <w:szCs w:val="24"/>
        </w:rPr>
        <w:t xml:space="preserve">. C) </w:t>
      </w:r>
      <w:r w:rsidRPr="00BF601E">
        <w:rPr>
          <w:sz w:val="24"/>
          <w:szCs w:val="24"/>
        </w:rPr>
        <w:t>Save the Image you scanned as tiff image.</w:t>
      </w:r>
      <w:r w:rsidRPr="00BF601E">
        <w:rPr>
          <w:rStyle w:val="apple-converted-space"/>
          <w:sz w:val="24"/>
          <w:szCs w:val="24"/>
        </w:rPr>
        <w:t> </w:t>
      </w:r>
    </w:p>
    <w:p w14:paraId="210D2045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2184B324" w14:textId="77777777" w:rsidR="003E7E24" w:rsidRDefault="003E7E24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7AD92F6F" w14:textId="39DBDA56" w:rsidR="003E7E24" w:rsidRDefault="003E7E24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4253F42D" wp14:editId="33E526EF">
            <wp:extent cx="5727700" cy="3964940"/>
            <wp:effectExtent l="0" t="0" r="1270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upp Fig10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37D15" w14:textId="77777777" w:rsidR="003E7E24" w:rsidRDefault="003E7E24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0F9BB077" w14:textId="6975C594" w:rsidR="00F56E7C" w:rsidRPr="00BF601E" w:rsidRDefault="00F56E7C" w:rsidP="003E7E24">
      <w:pPr>
        <w:pStyle w:val="p3"/>
        <w:jc w:val="left"/>
        <w:rPr>
          <w:sz w:val="24"/>
          <w:szCs w:val="24"/>
        </w:rPr>
      </w:pPr>
      <w:r w:rsidRPr="004E75C8">
        <w:rPr>
          <w:b/>
          <w:bCs/>
          <w:color w:val="000000" w:themeColor="text1"/>
          <w:sz w:val="24"/>
          <w:szCs w:val="24"/>
        </w:rPr>
        <w:t xml:space="preserve">Supplementary Figure 10. </w:t>
      </w:r>
      <w:r w:rsidR="003E7E24" w:rsidRPr="004E75C8">
        <w:rPr>
          <w:b/>
          <w:bCs/>
          <w:color w:val="000000" w:themeColor="text1"/>
          <w:sz w:val="24"/>
          <w:szCs w:val="24"/>
        </w:rPr>
        <w:t>Defining alignment</w:t>
      </w:r>
      <w:r w:rsidRPr="004E75C8">
        <w:rPr>
          <w:b/>
          <w:bCs/>
          <w:color w:val="000000" w:themeColor="text1"/>
          <w:sz w:val="24"/>
          <w:szCs w:val="24"/>
        </w:rPr>
        <w:t xml:space="preserve"> and analysis parameters</w:t>
      </w:r>
      <w:r w:rsidR="003E7E24" w:rsidRPr="004E75C8">
        <w:rPr>
          <w:color w:val="000000" w:themeColor="text1"/>
          <w:sz w:val="24"/>
          <w:szCs w:val="24"/>
        </w:rPr>
        <w:t xml:space="preserve">. Flexibility of </w:t>
      </w:r>
      <w:r w:rsidR="003E7E24">
        <w:rPr>
          <w:sz w:val="24"/>
          <w:szCs w:val="24"/>
        </w:rPr>
        <w:t>alignment</w:t>
      </w:r>
      <w:r w:rsidRPr="00BF601E">
        <w:rPr>
          <w:sz w:val="24"/>
          <w:szCs w:val="24"/>
        </w:rPr>
        <w:t xml:space="preserve"> and analysis setting ca</w:t>
      </w:r>
      <w:r w:rsidR="003E7E24">
        <w:rPr>
          <w:sz w:val="24"/>
          <w:szCs w:val="24"/>
        </w:rPr>
        <w:t>n be calibrated, including b</w:t>
      </w:r>
      <w:r w:rsidRPr="00BF601E">
        <w:rPr>
          <w:sz w:val="24"/>
          <w:szCs w:val="24"/>
        </w:rPr>
        <w:t>ackground subtraction algorithm.</w:t>
      </w:r>
      <w:r w:rsidRPr="00BF601E">
        <w:rPr>
          <w:rStyle w:val="apple-converted-space"/>
          <w:sz w:val="24"/>
          <w:szCs w:val="24"/>
        </w:rPr>
        <w:t> </w:t>
      </w:r>
    </w:p>
    <w:p w14:paraId="62CD7DF3" w14:textId="77777777" w:rsidR="00F56E7C" w:rsidRPr="00BF601E" w:rsidRDefault="00F56E7C" w:rsidP="00F56E7C">
      <w:pPr>
        <w:pStyle w:val="p2"/>
        <w:jc w:val="left"/>
        <w:rPr>
          <w:sz w:val="24"/>
          <w:szCs w:val="24"/>
        </w:rPr>
      </w:pPr>
    </w:p>
    <w:p w14:paraId="73822672" w14:textId="77777777" w:rsidR="00E92409" w:rsidRDefault="00E92409">
      <w:pPr>
        <w:rPr>
          <w:rFonts w:ascii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6309E603" w14:textId="1756064E" w:rsidR="00E92409" w:rsidRDefault="00E92409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  <w:r>
        <w:rPr>
          <w:b/>
          <w:bCs/>
          <w:noProof/>
          <w:color w:val="FF0000"/>
          <w:sz w:val="24"/>
          <w:szCs w:val="24"/>
        </w:rPr>
        <w:drawing>
          <wp:inline distT="0" distB="0" distL="0" distR="0" wp14:anchorId="5A3C8E10" wp14:editId="0107F911">
            <wp:extent cx="5727700" cy="4231005"/>
            <wp:effectExtent l="0" t="0" r="12700" b="1079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upp Fig1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3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AA13F" w14:textId="77777777" w:rsidR="00E92409" w:rsidRDefault="00E92409" w:rsidP="00F56E7C">
      <w:pPr>
        <w:pStyle w:val="p3"/>
        <w:jc w:val="left"/>
        <w:rPr>
          <w:b/>
          <w:bCs/>
          <w:color w:val="FF0000"/>
          <w:sz w:val="24"/>
          <w:szCs w:val="24"/>
        </w:rPr>
      </w:pPr>
    </w:p>
    <w:p w14:paraId="0065C061" w14:textId="339E4978" w:rsidR="00F56E7C" w:rsidRPr="00BF601E" w:rsidRDefault="00F56E7C" w:rsidP="00E92409">
      <w:pPr>
        <w:pStyle w:val="p3"/>
        <w:jc w:val="left"/>
        <w:rPr>
          <w:sz w:val="24"/>
          <w:szCs w:val="24"/>
        </w:rPr>
      </w:pPr>
      <w:bookmarkStart w:id="0" w:name="_GoBack"/>
      <w:r w:rsidRPr="004E75C8">
        <w:rPr>
          <w:b/>
          <w:bCs/>
          <w:color w:val="000000" w:themeColor="text1"/>
          <w:sz w:val="24"/>
          <w:szCs w:val="24"/>
        </w:rPr>
        <w:t>Supplementary Figure 11. Loading GAL file and alignments.</w:t>
      </w:r>
      <w:r w:rsidRPr="004E75C8">
        <w:rPr>
          <w:color w:val="000000" w:themeColor="text1"/>
          <w:sz w:val="24"/>
          <w:szCs w:val="24"/>
        </w:rPr>
        <w:t xml:space="preserve"> Align the grids according to </w:t>
      </w:r>
      <w:bookmarkEnd w:id="0"/>
      <w:r w:rsidRPr="00BF601E">
        <w:rPr>
          <w:sz w:val="24"/>
          <w:szCs w:val="24"/>
        </w:rPr>
        <w:t xml:space="preserve">the upper left </w:t>
      </w:r>
      <w:r w:rsidR="00E92409">
        <w:rPr>
          <w:sz w:val="24"/>
          <w:szCs w:val="24"/>
        </w:rPr>
        <w:t xml:space="preserve">corner of slide, </w:t>
      </w:r>
      <w:r w:rsidRPr="00BF601E">
        <w:rPr>
          <w:sz w:val="24"/>
          <w:szCs w:val="24"/>
        </w:rPr>
        <w:t>then align each block individually to ensure proper fit.</w:t>
      </w:r>
    </w:p>
    <w:p w14:paraId="5A91E855" w14:textId="77777777" w:rsidR="00DD6441" w:rsidRPr="00F56E7C" w:rsidRDefault="00DD6441" w:rsidP="00F56E7C"/>
    <w:sectPr w:rsidR="00DD6441" w:rsidRPr="00F56E7C" w:rsidSect="008D3A49">
      <w:footerReference w:type="even" r:id="rId18"/>
      <w:footerReference w:type="default" r:id="rId19"/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6223A3" w14:textId="77777777" w:rsidR="00FF27B5" w:rsidRDefault="00FF27B5" w:rsidP="002E1C86">
      <w:r>
        <w:separator/>
      </w:r>
    </w:p>
  </w:endnote>
  <w:endnote w:type="continuationSeparator" w:id="0">
    <w:p w14:paraId="7CC3B663" w14:textId="77777777" w:rsidR="00FF27B5" w:rsidRDefault="00FF27B5" w:rsidP="002E1C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610A46" w14:textId="77777777" w:rsidR="002E1C86" w:rsidRDefault="002E1C86" w:rsidP="00BB79E9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22C1CFE" w14:textId="77777777" w:rsidR="002E1C86" w:rsidRDefault="002E1C86" w:rsidP="002E1C86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26D222" w14:textId="77777777" w:rsidR="002E1C86" w:rsidRDefault="002E1C86" w:rsidP="00BB79E9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F27B5">
      <w:rPr>
        <w:rStyle w:val="PageNumber"/>
        <w:noProof/>
      </w:rPr>
      <w:t>1</w:t>
    </w:r>
    <w:r>
      <w:rPr>
        <w:rStyle w:val="PageNumber"/>
      </w:rPr>
      <w:fldChar w:fldCharType="end"/>
    </w:r>
  </w:p>
  <w:p w14:paraId="798FF7EA" w14:textId="77777777" w:rsidR="002E1C86" w:rsidRDefault="002E1C86" w:rsidP="002E1C86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D2462D8" w14:textId="77777777" w:rsidR="00FF27B5" w:rsidRDefault="00FF27B5" w:rsidP="002E1C86">
      <w:r>
        <w:separator/>
      </w:r>
    </w:p>
  </w:footnote>
  <w:footnote w:type="continuationSeparator" w:id="0">
    <w:p w14:paraId="72A8EE6B" w14:textId="77777777" w:rsidR="00FF27B5" w:rsidRDefault="00FF27B5" w:rsidP="002E1C8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1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6664"/>
    <w:rsid w:val="00277F71"/>
    <w:rsid w:val="002E1C86"/>
    <w:rsid w:val="003E7E24"/>
    <w:rsid w:val="004C0DAA"/>
    <w:rsid w:val="004E75C8"/>
    <w:rsid w:val="0065120F"/>
    <w:rsid w:val="00836664"/>
    <w:rsid w:val="008A166D"/>
    <w:rsid w:val="008D3A49"/>
    <w:rsid w:val="00DD6441"/>
    <w:rsid w:val="00E046D1"/>
    <w:rsid w:val="00E92409"/>
    <w:rsid w:val="00F56E7C"/>
    <w:rsid w:val="00FF27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90AFA1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he-IL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8">
    <w:name w:val="p18"/>
    <w:basedOn w:val="Normal"/>
    <w:rsid w:val="00836664"/>
    <w:pPr>
      <w:ind w:left="405" w:hanging="405"/>
    </w:pPr>
    <w:rPr>
      <w:rFonts w:ascii="Times New Roman" w:hAnsi="Times New Roman" w:cs="Times New Roman"/>
      <w:sz w:val="18"/>
      <w:szCs w:val="18"/>
    </w:rPr>
  </w:style>
  <w:style w:type="character" w:customStyle="1" w:styleId="apple-tab-span">
    <w:name w:val="apple-tab-span"/>
    <w:basedOn w:val="DefaultParagraphFont"/>
    <w:rsid w:val="00836664"/>
  </w:style>
  <w:style w:type="paragraph" w:customStyle="1" w:styleId="p2">
    <w:name w:val="p2"/>
    <w:basedOn w:val="Normal"/>
    <w:rsid w:val="00F56E7C"/>
    <w:pPr>
      <w:jc w:val="both"/>
    </w:pPr>
    <w:rPr>
      <w:rFonts w:ascii="Times New Roman" w:hAnsi="Times New Roman" w:cs="Times New Roman"/>
      <w:sz w:val="18"/>
      <w:szCs w:val="18"/>
    </w:rPr>
  </w:style>
  <w:style w:type="paragraph" w:customStyle="1" w:styleId="p3">
    <w:name w:val="p3"/>
    <w:basedOn w:val="Normal"/>
    <w:rsid w:val="00F56E7C"/>
    <w:pPr>
      <w:jc w:val="both"/>
    </w:pPr>
    <w:rPr>
      <w:rFonts w:ascii="Times New Roman" w:hAnsi="Times New Roman" w:cs="Times New Roman"/>
      <w:sz w:val="18"/>
      <w:szCs w:val="18"/>
    </w:rPr>
  </w:style>
  <w:style w:type="character" w:customStyle="1" w:styleId="apple-converted-space">
    <w:name w:val="apple-converted-space"/>
    <w:basedOn w:val="DefaultParagraphFont"/>
    <w:rsid w:val="00F56E7C"/>
  </w:style>
  <w:style w:type="paragraph" w:customStyle="1" w:styleId="p1">
    <w:name w:val="p1"/>
    <w:basedOn w:val="Normal"/>
    <w:rsid w:val="00E046D1"/>
    <w:pPr>
      <w:jc w:val="both"/>
    </w:pPr>
    <w:rPr>
      <w:rFonts w:ascii="Times New Roman" w:hAnsi="Times New Roman" w:cs="Times New Roman"/>
      <w:sz w:val="27"/>
      <w:szCs w:val="27"/>
    </w:rPr>
  </w:style>
  <w:style w:type="character" w:styleId="Hyperlink">
    <w:name w:val="Hyperlink"/>
    <w:basedOn w:val="DefaultParagraphFont"/>
    <w:uiPriority w:val="99"/>
    <w:semiHidden/>
    <w:unhideWhenUsed/>
    <w:rsid w:val="00E046D1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unhideWhenUsed/>
    <w:rsid w:val="002E1C8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E1C86"/>
  </w:style>
  <w:style w:type="character" w:styleId="PageNumber">
    <w:name w:val="page number"/>
    <w:basedOn w:val="DefaultParagraphFont"/>
    <w:uiPriority w:val="99"/>
    <w:semiHidden/>
    <w:unhideWhenUsed/>
    <w:rsid w:val="002E1C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yperlink" Target="mailto:vkaravani@post.tau.ac.il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12</Pages>
  <Words>685</Words>
  <Characters>3908</Characters>
  <Application>Microsoft Macintosh Word</Application>
  <DocSecurity>0</DocSecurity>
  <Lines>32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7" baseType="lpstr">
      <vt:lpstr/>
      <vt:lpstr>SUPPLEMENTARY INFORMATION</vt:lpstr>
      <vt:lpstr/>
      <vt:lpstr>Profiling anti-Neu5Gc IgG in human sera by a sialoglycan microarray assay </vt:lpstr>
      <vt:lpstr>Shani Leviatan Ben-Arye1, Hai Yu2, Xi Chen2 and Vered Padler-Karavani1</vt:lpstr>
      <vt:lpstr>E-MAIL ADDRESSES: </vt:lpstr>
      <vt:lpstr>KEYWORDS:</vt:lpstr>
    </vt:vector>
  </TitlesOfParts>
  <LinksUpToDate>false</LinksUpToDate>
  <CharactersWithSpaces>4584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Vered Padler-Karavani</dc:creator>
  <cp:keywords/>
  <dc:description/>
  <cp:lastModifiedBy>Vered Padler-Karavani</cp:lastModifiedBy>
  <cp:revision>4</cp:revision>
  <dcterms:created xsi:type="dcterms:W3CDTF">2017-04-08T20:20:00Z</dcterms:created>
  <dcterms:modified xsi:type="dcterms:W3CDTF">2017-04-08T23:16:00Z</dcterms:modified>
</cp:coreProperties>
</file>