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0B8D" w14:textId="2A58CBA7" w:rsidR="0074595E" w:rsidRPr="0074595E" w:rsidRDefault="0074595E" w:rsidP="0074595E">
      <w:pPr>
        <w:ind w:left="360" w:hanging="360"/>
        <w:rPr>
          <w:rFonts w:asciiTheme="minorHAnsi" w:hAnsiTheme="minorHAnsi" w:cstheme="minorHAnsi"/>
          <w:b/>
          <w:bCs/>
          <w:sz w:val="28"/>
          <w:szCs w:val="28"/>
        </w:rPr>
      </w:pPr>
      <w:r w:rsidRPr="0074595E">
        <w:rPr>
          <w:rFonts w:asciiTheme="minorHAnsi" w:hAnsiTheme="minorHAnsi" w:cstheme="minorHAnsi"/>
          <w:b/>
          <w:bCs/>
          <w:sz w:val="28"/>
          <w:szCs w:val="28"/>
        </w:rPr>
        <w:t>Supplementary Material</w:t>
      </w:r>
    </w:p>
    <w:p w14:paraId="2B899877" w14:textId="77777777" w:rsidR="0074595E" w:rsidRPr="0074595E" w:rsidRDefault="0074595E" w:rsidP="0074595E">
      <w:pPr>
        <w:ind w:left="360" w:hanging="360"/>
        <w:rPr>
          <w:rFonts w:asciiTheme="minorHAnsi" w:hAnsiTheme="minorHAnsi" w:cstheme="minorHAnsi"/>
          <w:b/>
          <w:bCs/>
        </w:rPr>
      </w:pPr>
    </w:p>
    <w:p w14:paraId="0615C443" w14:textId="2FAFAFCB" w:rsidR="000819DC" w:rsidRPr="0074595E" w:rsidRDefault="000819DC" w:rsidP="0074595E">
      <w:pPr>
        <w:rPr>
          <w:rFonts w:asciiTheme="minorHAnsi" w:hAnsiTheme="minorHAnsi" w:cstheme="minorHAnsi"/>
        </w:rPr>
      </w:pPr>
      <w:r w:rsidRPr="0074595E">
        <w:rPr>
          <w:rFonts w:asciiTheme="minorHAnsi" w:hAnsiTheme="minorHAnsi" w:cstheme="minorHAnsi"/>
        </w:rPr>
        <w:t>The ‘</w:t>
      </w:r>
      <w:r w:rsidRPr="0074595E">
        <w:rPr>
          <w:rFonts w:asciiTheme="minorHAnsi" w:hAnsiTheme="minorHAnsi" w:cstheme="minorHAnsi"/>
          <w:i/>
          <w:iCs/>
        </w:rPr>
        <w:t>Real Time Monitor</w:t>
      </w:r>
      <w:r w:rsidRPr="0074595E">
        <w:rPr>
          <w:rFonts w:asciiTheme="minorHAnsi" w:hAnsiTheme="minorHAnsi" w:cstheme="minorHAnsi"/>
        </w:rPr>
        <w:t>’ tab of the GUI displays the real-time CBF, oxygen extraction fraction (OEF) and cerebral metabolic rate of oxygen (CMRO</w:t>
      </w:r>
      <w:r w:rsidRPr="0074595E">
        <w:rPr>
          <w:rFonts w:asciiTheme="minorHAnsi" w:hAnsiTheme="minorHAnsi" w:cstheme="minorHAnsi"/>
          <w:vertAlign w:val="subscript"/>
        </w:rPr>
        <w:t>2</w:t>
      </w:r>
      <w:r w:rsidRPr="0074595E">
        <w:rPr>
          <w:rFonts w:asciiTheme="minorHAnsi" w:hAnsiTheme="minorHAnsi" w:cstheme="minorHAnsi"/>
        </w:rPr>
        <w:t>) values at both a short-term (5-minute) and a long-term (2-hour) time window (Figure 1-C). Specifically, the software employs a Python script on the background to compute the cerebral physiology parameters from the diffuse optics models and the DOS/DCS data</w:t>
      </w:r>
      <w:r w:rsidR="0074595E" w:rsidRPr="0074595E">
        <w:rPr>
          <w:rFonts w:asciiTheme="minorHAnsi" w:hAnsiTheme="minorHAnsi" w:cstheme="minorHAnsi"/>
        </w:rPr>
        <w:t xml:space="preserve"> </w:t>
      </w:r>
      <w:r w:rsidR="0074595E"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{"citationItems":[{"id":"ITEM-1","itemData":{"DOI":"10.5281/ZENODO.11813","abstract":"Lmfit provides a high-level interface to non-linear optimization and curve fitting problems for Python. Lmfit builds on Levenberg-Marquardt algorithm of scipy.optimize.leastsq(), but also supports most of the optimization method from scipy.optimize","author":[{"dropping-particle":"","family":"Newville","given":"Matthew","non-dropping-particle":"","parse-names":false,"suffix":""},{"dropping-particle":"","family":"Ingargiola","given":"Antonino","non-dropping-particle":"","parse-names":false,"suffix":""},{"dropping-particle":"","family":"Stensitzki","given":"Till","non-dropping-particle":"","parse-names":false,"suffix":""},{"dropping-particle":"","family":"Allen","given":"Daniel B","non-dropping-particle":"","parse-names":false,"suffix":""}],"container-title":"Zenodo","id":"ITEM-1","issued":{"date-parts":[["2014","9"]]},"page":"--","title":"LMFIT: Non-Linear Least-Square Minimization and Curve-Fitting for Python","type":"article-journal"},"uris":["http://www.mendeley.com/documents/?uuid=4c697e8e-193d-4abd-9e7f-9f23f9000b41"]},{"id":"ITEM-2","itemData":{"DOI":"10.1109/MCSE.2007.58","ISBN":"9781584889298","ISSN":"1521-9615","abstract":"By itself, Python is an excellent \"steering\" language for scientific codes written in other languages. However, with additional basic tools, Python transforms into a high-level language suited for scientific and engineering code that's often fast enough to be immediately useful but also flexible enough to be sped up with additional extensions.","author":[{"dropping-particle":"","family":"Oliphant","given":"Travis E","non-dropping-particle":"","parse-names":false,"suffix":""}],"container-title":"Computing in Science and Engineering","id":"ITEM-2","issued":{"date-parts":[["2007"]]},"title":"SciPy: Open source scientific tools for Python","type":"article-journal"},"uris":["http://www.mendeley.com/documents/?uuid=4d46c88f-5f10-40ca-a905-52ceff460606"]},{"id":"ITEM-3","itemData":{"DOI":"10.1109/MCSE.2007.55","ISBN":"1521-9615 VO - 9","ISSN":"1521-9615","PMID":"1000044628","abstract":"Matplotlib is a 2D graphics package used for Python for application development, interactive scripting, and publication-quality image generation across user interfaces and operating systems.","author":[{"dropping-particle":"","family":"Hunter","given":"John D","non-dropping-particle":"","parse-names":false,"suffix":""}],"container-title":"Computing in Science &amp; Engineering","id":"ITEM-3","issue":"3","issued":{"date-parts":[["2007"]]},"page":"90-95","title":"Matplotlib: A 2D Graphics Environment","type":"article-journal","volume":"9"},"uris":["http://www.mendeley.com/documents/?uuid=7f995481-a57c-4d20-9c08-cd4751639427"]}],"mendeley":{"formattedCitation":"(Hunter, 2007; Newville et al., 2014; Oliphant, 2007)","plainTextFormattedCitation":"(Hunter, 2007; Newville et al., 2014; Oliphant, 2007)","previouslyFormattedCitation":"(Hunter, 2007; Newville et al., 2014; Oliphant, 2007)"},"properties":{"noteIndex":0},"schema":"https://github.com/citation-style-language/schema/raw/master/csl-citation.json"}</w:instrText>
      </w:r>
      <w:r w:rsidR="0074595E" w:rsidRPr="0074595E">
        <w:rPr>
          <w:rFonts w:asciiTheme="minorHAnsi" w:hAnsiTheme="minorHAnsi" w:cstheme="minorHAnsi"/>
        </w:rPr>
        <w:fldChar w:fldCharType="separate"/>
      </w:r>
      <w:r w:rsidR="0074595E" w:rsidRPr="0074595E">
        <w:rPr>
          <w:rFonts w:asciiTheme="minorHAnsi" w:hAnsiTheme="minorHAnsi" w:cstheme="minorHAnsi"/>
          <w:noProof/>
        </w:rPr>
        <w:t>(Hunter, 2007; Newville et al., 2014; Oliphant, 2007)</w:t>
      </w:r>
      <w:r w:rsidR="0074595E" w:rsidRPr="0074595E">
        <w:rPr>
          <w:rFonts w:asciiTheme="minorHAnsi" w:hAnsiTheme="minorHAnsi" w:cstheme="minorHAnsi"/>
        </w:rPr>
        <w:fldChar w:fldCharType="end"/>
      </w:r>
      <w:r w:rsidRPr="0074595E">
        <w:rPr>
          <w:rFonts w:asciiTheme="minorHAnsi" w:hAnsiTheme="minorHAnsi" w:cstheme="minorHAnsi"/>
        </w:rPr>
        <w:t>.</w:t>
      </w:r>
      <w:r w:rsidR="0074595E" w:rsidRPr="0074595E">
        <w:rPr>
          <w:rFonts w:asciiTheme="minorHAnsi" w:hAnsiTheme="minorHAnsi" w:cstheme="minorHAnsi"/>
        </w:rPr>
        <w:t xml:space="preserve"> </w:t>
      </w:r>
      <w:r w:rsidRPr="0074595E">
        <w:rPr>
          <w:rFonts w:asciiTheme="minorHAnsi" w:hAnsiTheme="minorHAnsi" w:cstheme="minorHAnsi"/>
        </w:rPr>
        <w:t>First, the software analyzes the FD-DOS data using a standard semi-infinite model of the head to recover the absorption and scattering coefficients (</w:t>
      </w:r>
      <m:oMath>
        <m:sSub>
          <m:sSubPr>
            <m:ctrlPr>
              <w:rPr>
                <w:rFonts w:ascii="Cambria Math" w:hAnsi="Cambria Math" w:cstheme="minorHAnsi"/>
                <w:i/>
              </w:rPr>
            </m:ctrlPr>
          </m:sSubPr>
          <m:e>
            <m:r>
              <w:rPr>
                <w:rFonts w:ascii="Cambria Math" w:hAnsi="Cambria Math" w:cstheme="minorHAnsi"/>
              </w:rPr>
              <m:t>μ</m:t>
            </m:r>
          </m:e>
          <m:sub>
            <m:r>
              <w:rPr>
                <w:rFonts w:ascii="Cambria Math" w:hAnsi="Cambria Math" w:cstheme="minorHAnsi"/>
              </w:rPr>
              <m:t>a</m:t>
            </m:r>
          </m:sub>
        </m:sSub>
      </m:oMath>
      <w:r w:rsidRPr="0074595E">
        <w:rPr>
          <w:rFonts w:asciiTheme="minorHAnsi" w:hAnsiTheme="minorHAnsi" w:cstheme="minorHAnsi"/>
        </w:rPr>
        <w:t xml:space="preserve"> and </w:t>
      </w:r>
      <m:oMath>
        <m:sSubSup>
          <m:sSubSupPr>
            <m:ctrlPr>
              <w:rPr>
                <w:rFonts w:ascii="Cambria Math" w:hAnsi="Cambria Math" w:cstheme="minorHAnsi"/>
                <w:i/>
              </w:rPr>
            </m:ctrlPr>
          </m:sSubSupPr>
          <m:e>
            <m:r>
              <w:rPr>
                <w:rFonts w:ascii="Cambria Math" w:hAnsi="Cambria Math" w:cstheme="minorHAnsi"/>
              </w:rPr>
              <m:t>μ</m:t>
            </m:r>
          </m:e>
          <m:sub>
            <m:r>
              <w:rPr>
                <w:rFonts w:ascii="Cambria Math" w:hAnsi="Cambria Math" w:cstheme="minorHAnsi"/>
              </w:rPr>
              <m:t>s</m:t>
            </m:r>
          </m:sub>
          <m:sup>
            <m:r>
              <w:rPr>
                <w:rFonts w:ascii="Cambria Math" w:hAnsi="Cambria Math" w:cstheme="minorHAnsi"/>
              </w:rPr>
              <m:t>'</m:t>
            </m:r>
          </m:sup>
        </m:sSubSup>
      </m:oMath>
      <w:r w:rsidRPr="0074595E">
        <w:rPr>
          <w:rFonts w:asciiTheme="minorHAnsi" w:hAnsiTheme="minorHAnsi" w:cstheme="minorHAnsi"/>
        </w:rPr>
        <w:t xml:space="preserve">, respectively) </w:t>
      </w:r>
      <w:r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{"citationItems":[{"id":"ITEM-1","itemData":{"DOI":"10.1088/0034-4885/73/7/076701","ISSN":"00344885","abstract":"This review describes the diffusion model for light transport in tissues and the medical applications of diffuse light. Diffuse optics is particularly useful for measurement of tissue hemodynamics, wherein quantitative assessment of oxy- and deoxy-hemoglobin concentrations and blood flow are desired. The theoretical basis for near-infrared or diffuse optical spectroscopy is developed, and the basic elements of diffuse optical tomography are outlined. We also discuss diffuse correlation spectroscopy, a technique whereby temporal correlation functions of diffusing light are transported through tissue and are used to measure blood flow. Essential instrumentation is described, and representative brain and breast functional imaging and monitoring results illustrate the workings of these new tissue diagnostics. © 2010 IOP Publishing Ltd.","author":[{"dropping-particle":"","family":"Durduran","given":"T.","non-dropping-particle":"","parse-names":false,"suffix":""},{"dropping-particle":"","family":"Choe","given":"R.","non-dropping-particle":"","parse-names":false,"suffix":""},{"dropping-particle":"","family":"Baker","given":"W. B.","non-dropping-particle":"","parse-names":false,"suffix":""},{"dropping-particle":"","family":"Yodh","given":"A. G.","non-dropping-particle":"","parse-names":false,"suffix":""}],"container-title":"Reports on Progress in Physics","id":"ITEM-1","issue":"7","issued":{"date-parts":[["2010"]]},"title":"Diffuse optics for tissue monitoring and tomography","type":"article-journal","volume":"73"},"uris":["http://www.mendeley.com/documents/?uuid=a3fa8e07-fce3-4b94-a4d0-5ce9d1b01afc"]},{"id":"ITEM-2","itemData":{"DOI":"10.1088/1361-6579/aa60b7","ISSN":"13616579","abstract":"Objective. Blood flow is one such available observable promoting a wealth of physiological insight both individually and in combination with other metrics. Approach. Near-infrared diffuse correlation spectroscopy (DCS) and, to a lesser extent, diffuse correlation tomography (DCT), have increasingly received interest over the past decade as noninvasive methods for tissue blood flow measurements and imaging. DCS/DCT offers several attractive features for tissue blood flow measurements/imaging such as noninvasiveness, portability, high temporal resolution, and relatively large penetration depth (up to several centimeters). Main results. This review first introduces the basic principle and instrumentation of DCS/DCT, followed by presenting clinical application examples of DCS/DCT for the diagnosis and therapeutic monitoring of diseases in a variety of organs/tissues including brain, skeletal muscle, and tumor. Significance. Clinical study results demonstrate technical versatility of DCS/DCT in providing important information for disease diagnosis and intervention monitoring.","author":[{"dropping-particle":"","family":"Shang","given":"Yu","non-dropping-particle":"","parse-names":false,"suffix":""},{"dropping-particle":"","family":"Li","given":"Ting","non-dropping-particle":"","parse-names":false,"suffix":""},{"dropping-particle":"","family":"Yu","given":"Guoqiang","non-dropping-particle":"","parse-names":false,"suffix":""}],"container-title":"Physiological Measurement","id":"ITEM-2","issue":"4","issued":{"date-parts":[["2017","4"]]},"page":"R1--R26","publisher":"IOP Publishing","title":"Clinical applications of near-infrared diffuse correlation spectroscopy and tomography for tissue blood flow monitoring and imaging","type":"article-journal","volume":"38"},"uris":["http://www.mendeley.com/documents/?uuid=0127d00a-c305-4cb3-9115-1f9efc92db3a"]}],"mendeley":{"formattedCitation":"(T. Durduran et al., 2010; Shang et al., 2017)","plainTextFormattedCitation":"(T. Durduran et al., 2010; Shang et al., 2017)","previouslyFormattedCitation":"(T. Durduran et al., 2010; Shang et al., 2017)"},"properties":{"noteIndex":0},"schema":"https://github.com/citation-style-language/schema/raw/master/csl-citation.json"}</w:instrText>
      </w:r>
      <w:r w:rsidRPr="0074595E">
        <w:rPr>
          <w:rFonts w:asciiTheme="minorHAnsi" w:hAnsiTheme="minorHAnsi" w:cstheme="minorHAnsi"/>
        </w:rPr>
        <w:fldChar w:fldCharType="separate"/>
      </w:r>
      <w:r w:rsidR="0074595E" w:rsidRPr="0074595E">
        <w:rPr>
          <w:rFonts w:asciiTheme="minorHAnsi" w:hAnsiTheme="minorHAnsi" w:cstheme="minorHAnsi"/>
          <w:noProof/>
        </w:rPr>
        <w:t>(T. Durduran et al., 2010; Shang et al., 2017)</w:t>
      </w:r>
      <w:r w:rsidRPr="0074595E">
        <w:rPr>
          <w:rFonts w:asciiTheme="minorHAnsi" w:hAnsiTheme="minorHAnsi" w:cstheme="minorHAnsi"/>
        </w:rPr>
        <w:fldChar w:fldCharType="end"/>
      </w:r>
      <w:r w:rsidRPr="0074595E">
        <w:rPr>
          <w:rFonts w:asciiTheme="minorHAnsi" w:hAnsiTheme="minorHAnsi" w:cstheme="minorHAnsi"/>
        </w:rPr>
        <w:t>.</w:t>
      </w:r>
      <w:r w:rsidR="0074595E" w:rsidRPr="0074595E">
        <w:rPr>
          <w:rFonts w:asciiTheme="minorHAnsi" w:hAnsiTheme="minorHAnsi" w:cstheme="minorHAnsi"/>
        </w:rPr>
        <w:t xml:space="preserve"> </w:t>
      </w:r>
      <w:r w:rsidRPr="0074595E">
        <w:rPr>
          <w:rFonts w:asciiTheme="minorHAnsi" w:hAnsiTheme="minorHAnsi" w:cstheme="minorHAnsi"/>
        </w:rPr>
        <w:t>From the absorption coefficient, we can recover the oxy- and deoxy-hemoglobin concentration with:</w:t>
      </w:r>
    </w:p>
    <w:p w14:paraId="78144CEE" w14:textId="3DD83C79" w:rsidR="0074595E" w:rsidRPr="0074595E" w:rsidRDefault="000819DC" w:rsidP="0074595E">
      <w:pPr>
        <w:spacing w:before="240" w:after="240"/>
        <w:rPr>
          <w:rFonts w:asciiTheme="minorHAnsi" w:hAnsiTheme="minorHAnsi" w:cstheme="minorHAnsi"/>
        </w:rPr>
      </w:pPr>
      <w:r w:rsidRPr="0074595E">
        <w:rPr>
          <w:rFonts w:asciiTheme="minorHAnsi" w:hAnsiTheme="minorHAnsi" w:cstheme="minorHAnsi"/>
        </w:rPr>
        <w:tab/>
      </w:r>
      <w:r w:rsidRPr="0074595E">
        <w:rPr>
          <w:rFonts w:asciiTheme="minorHAnsi" w:hAnsiTheme="minorHAnsi" w:cstheme="minorHAnsi"/>
        </w:rPr>
        <w:tab/>
      </w:r>
      <w:r w:rsidRPr="0074595E">
        <w:rPr>
          <w:rFonts w:asciiTheme="minorHAnsi" w:hAnsiTheme="minorHAnsi" w:cstheme="minorHAnsi"/>
        </w:rPr>
        <w:tab/>
      </w:r>
      <w:r w:rsidRPr="0074595E">
        <w:rPr>
          <w:rFonts w:asciiTheme="minorHAnsi" w:hAnsiTheme="minorHAnsi" w:cstheme="minorHAnsi"/>
        </w:rPr>
        <w:tab/>
      </w:r>
      <m:oMath>
        <m:sSub>
          <m:sSubPr>
            <m:ctrlPr>
              <w:rPr>
                <w:rFonts w:ascii="Cambria Math" w:hAnsi="Cambria Math" w:cstheme="minorHAnsi"/>
                <w:i/>
                <w:lang w:val="pt-BR"/>
              </w:rPr>
            </m:ctrlPr>
          </m:sSubPr>
          <m:e>
            <m:r>
              <w:rPr>
                <w:rFonts w:ascii="Cambria Math" w:hAnsi="Cambria Math" w:cstheme="minorHAnsi"/>
                <w:lang w:val="pt-BR"/>
              </w:rPr>
              <m:t>μ</m:t>
            </m:r>
          </m:e>
          <m:sub>
            <m:r>
              <w:rPr>
                <w:rFonts w:ascii="Cambria Math" w:hAnsi="Cambria Math" w:cstheme="minorHAnsi"/>
                <w:lang w:val="pt-BR"/>
              </w:rPr>
              <m:t>a</m:t>
            </m:r>
          </m:sub>
        </m:sSub>
        <m:r>
          <w:rPr>
            <w:rFonts w:ascii="Cambria Math" w:hAnsi="Cambria Math" w:cstheme="minorHAnsi"/>
          </w:rPr>
          <m:t>(</m:t>
        </m:r>
        <m:r>
          <w:rPr>
            <w:rFonts w:ascii="Cambria Math" w:hAnsi="Cambria Math" w:cstheme="minorHAnsi"/>
            <w:lang w:val="pt-BR"/>
          </w:rPr>
          <m:t>λ</m:t>
        </m:r>
        <m:r>
          <w:rPr>
            <w:rFonts w:ascii="Cambria Math" w:hAnsi="Cambria Math" w:cstheme="minorHAnsi"/>
          </w:rPr>
          <m:t>)=</m:t>
        </m:r>
        <m:sSub>
          <m:sSubPr>
            <m:ctrlPr>
              <w:rPr>
                <w:rFonts w:ascii="Cambria Math" w:hAnsi="Cambria Math" w:cstheme="minorHAnsi"/>
                <w:i/>
                <w:lang w:val="pt-BR"/>
              </w:rPr>
            </m:ctrlPr>
          </m:sSubPr>
          <m:e>
            <m:r>
              <w:rPr>
                <w:rFonts w:ascii="Cambria Math" w:hAnsi="Cambria Math" w:cstheme="minorHAnsi"/>
                <w:lang w:val="pt-BR"/>
              </w:rPr>
              <m:t>ε</m:t>
            </m:r>
          </m:e>
          <m:sub>
            <m:r>
              <w:rPr>
                <w:rFonts w:ascii="Cambria Math" w:hAnsi="Cambria Math" w:cstheme="minorHAnsi"/>
                <w:lang w:val="pt-BR"/>
              </w:rPr>
              <m:t>HbO</m:t>
            </m:r>
          </m:sub>
        </m:sSub>
        <m:d>
          <m:dPr>
            <m:ctrlPr>
              <w:rPr>
                <w:rFonts w:ascii="Cambria Math" w:hAnsi="Cambria Math" w:cstheme="minorHAnsi"/>
                <w:i/>
              </w:rPr>
            </m:ctrlPr>
          </m:dPr>
          <m:e>
            <m:r>
              <w:rPr>
                <w:rFonts w:ascii="Cambria Math" w:hAnsi="Cambria Math" w:cstheme="minorHAnsi"/>
                <w:lang w:val="pt-BR"/>
              </w:rPr>
              <m:t>λ</m:t>
            </m:r>
          </m:e>
        </m:d>
        <m:r>
          <w:rPr>
            <w:rFonts w:ascii="Cambria Math" w:hAnsi="Cambria Math" w:cstheme="minorHAnsi"/>
            <w:lang w:val="pt-BR"/>
          </w:rPr>
          <m:t>HbO</m:t>
        </m:r>
        <m:r>
          <w:rPr>
            <w:rFonts w:ascii="Cambria Math" w:hAnsi="Cambria Math" w:cstheme="minorHAnsi"/>
          </w:rPr>
          <m:t>+</m:t>
        </m:r>
        <m:sSub>
          <m:sSubPr>
            <m:ctrlPr>
              <w:rPr>
                <w:rFonts w:ascii="Cambria Math" w:hAnsi="Cambria Math" w:cstheme="minorHAnsi"/>
                <w:i/>
                <w:lang w:val="pt-BR"/>
              </w:rPr>
            </m:ctrlPr>
          </m:sSubPr>
          <m:e>
            <m:r>
              <w:rPr>
                <w:rFonts w:ascii="Cambria Math" w:hAnsi="Cambria Math" w:cstheme="minorHAnsi"/>
                <w:lang w:val="pt-BR"/>
              </w:rPr>
              <m:t>ε</m:t>
            </m:r>
          </m:e>
          <m:sub>
            <m:r>
              <w:rPr>
                <w:rFonts w:ascii="Cambria Math" w:hAnsi="Cambria Math" w:cstheme="minorHAnsi"/>
                <w:lang w:val="pt-BR"/>
              </w:rPr>
              <m:t>HbR</m:t>
            </m:r>
          </m:sub>
        </m:sSub>
        <m:d>
          <m:dPr>
            <m:ctrlPr>
              <w:rPr>
                <w:rFonts w:ascii="Cambria Math" w:hAnsi="Cambria Math" w:cstheme="minorHAnsi"/>
                <w:i/>
              </w:rPr>
            </m:ctrlPr>
          </m:dPr>
          <m:e>
            <m:r>
              <w:rPr>
                <w:rFonts w:ascii="Cambria Math" w:hAnsi="Cambria Math" w:cstheme="minorHAnsi"/>
                <w:lang w:val="pt-BR"/>
              </w:rPr>
              <m:t>λ</m:t>
            </m:r>
          </m:e>
        </m:d>
        <m:r>
          <w:rPr>
            <w:rFonts w:ascii="Cambria Math" w:hAnsi="Cambria Math" w:cstheme="minorHAnsi"/>
            <w:lang w:val="pt-BR"/>
          </w:rPr>
          <m:t>HbR</m:t>
        </m:r>
        <m:r>
          <w:rPr>
            <w:rFonts w:ascii="Cambria Math" w:hAnsi="Cambria Math" w:cstheme="minorHAnsi"/>
          </w:rPr>
          <m:t>+0.75</m:t>
        </m:r>
        <m:sSub>
          <m:sSubPr>
            <m:ctrlPr>
              <w:rPr>
                <w:rFonts w:ascii="Cambria Math" w:hAnsi="Cambria Math" w:cstheme="minorHAnsi"/>
                <w:i/>
                <w:lang w:val="pt-BR"/>
              </w:rPr>
            </m:ctrlPr>
          </m:sSubPr>
          <m:e>
            <m:sSub>
              <m:sSubPr>
                <m:ctrlPr>
                  <w:rPr>
                    <w:rFonts w:ascii="Cambria Math" w:hAnsi="Cambria Math" w:cstheme="minorHAnsi"/>
                    <w:i/>
                    <w:lang w:val="pt-BR"/>
                  </w:rPr>
                </m:ctrlPr>
              </m:sSubPr>
              <m:e>
                <m:r>
                  <w:rPr>
                    <w:rFonts w:ascii="Cambria Math" w:hAnsi="Cambria Math" w:cstheme="minorHAnsi"/>
                    <w:lang w:val="pt-BR"/>
                  </w:rPr>
                  <m:t>μ</m:t>
                </m:r>
              </m:e>
              <m:sub>
                <m:r>
                  <w:rPr>
                    <w:rFonts w:ascii="Cambria Math" w:hAnsi="Cambria Math" w:cstheme="minorHAnsi"/>
                    <w:lang w:val="pt-BR"/>
                  </w:rPr>
                  <m:t>a</m:t>
                </m:r>
              </m:sub>
            </m:sSub>
          </m:e>
          <m:sub>
            <m:sSub>
              <m:sSubPr>
                <m:ctrlPr>
                  <w:rPr>
                    <w:rFonts w:ascii="Cambria Math" w:hAnsi="Cambria Math" w:cstheme="minorHAnsi"/>
                    <w:i/>
                    <w:lang w:val="pt-BR"/>
                  </w:rPr>
                </m:ctrlPr>
              </m:sSubPr>
              <m:e>
                <m:r>
                  <w:rPr>
                    <w:rFonts w:ascii="Cambria Math" w:hAnsi="Cambria Math" w:cstheme="minorHAnsi"/>
                    <w:lang w:val="pt-BR"/>
                  </w:rPr>
                  <m:t>H</m:t>
                </m:r>
              </m:e>
              <m:sub>
                <m:r>
                  <w:rPr>
                    <w:rFonts w:ascii="Cambria Math" w:hAnsi="Cambria Math" w:cstheme="minorHAnsi"/>
                  </w:rPr>
                  <m:t>2</m:t>
                </m:r>
              </m:sub>
            </m:sSub>
            <m:r>
              <w:rPr>
                <w:rFonts w:ascii="Cambria Math" w:hAnsi="Cambria Math" w:cstheme="minorHAnsi"/>
                <w:lang w:val="pt-BR"/>
              </w:rPr>
              <m:t>O</m:t>
            </m:r>
          </m:sub>
        </m:sSub>
        <m:d>
          <m:dPr>
            <m:ctrlPr>
              <w:rPr>
                <w:rFonts w:ascii="Cambria Math" w:hAnsi="Cambria Math" w:cstheme="minorHAnsi"/>
                <w:i/>
                <w:lang w:val="pt-BR"/>
              </w:rPr>
            </m:ctrlPr>
          </m:dPr>
          <m:e>
            <m:r>
              <w:rPr>
                <w:rFonts w:ascii="Cambria Math" w:hAnsi="Cambria Math" w:cstheme="minorHAnsi"/>
                <w:lang w:val="pt-BR"/>
              </w:rPr>
              <m:t>λ</m:t>
            </m:r>
          </m:e>
        </m:d>
      </m:oMath>
      <w:r w:rsidRPr="0074595E">
        <w:rPr>
          <w:rFonts w:asciiTheme="minorHAnsi" w:hAnsiTheme="minorHAnsi" w:cstheme="minorHAnsi"/>
        </w:rPr>
        <w:t>,</w:t>
      </w:r>
    </w:p>
    <w:p w14:paraId="66D1D5E6" w14:textId="74756DA6" w:rsidR="000819DC" w:rsidRPr="0074595E" w:rsidRDefault="000819DC" w:rsidP="0074595E">
      <w:pPr>
        <w:rPr>
          <w:rFonts w:asciiTheme="minorHAnsi" w:hAnsiTheme="minorHAnsi" w:cstheme="minorHAnsi"/>
        </w:rPr>
      </w:pPr>
      <w:r w:rsidRPr="0074595E">
        <w:rPr>
          <w:rFonts w:asciiTheme="minorHAnsi" w:hAnsiTheme="minorHAnsi" w:cstheme="minorHAnsi"/>
        </w:rPr>
        <w:t xml:space="preserve">where we assumed a 75% water content in tissue. Then, from </w:t>
      </w:r>
      <w:proofErr w:type="spellStart"/>
      <w:r w:rsidRPr="0074595E">
        <w:rPr>
          <w:rFonts w:asciiTheme="minorHAnsi" w:hAnsiTheme="minorHAnsi" w:cstheme="minorHAnsi"/>
        </w:rPr>
        <w:t>HbO</w:t>
      </w:r>
      <w:proofErr w:type="spellEnd"/>
      <w:r w:rsidRPr="0074595E">
        <w:rPr>
          <w:rFonts w:asciiTheme="minorHAnsi" w:hAnsiTheme="minorHAnsi" w:cstheme="minorHAnsi"/>
        </w:rPr>
        <w:t xml:space="preserve"> and </w:t>
      </w:r>
      <w:proofErr w:type="spellStart"/>
      <w:r w:rsidRPr="0074595E">
        <w:rPr>
          <w:rFonts w:asciiTheme="minorHAnsi" w:hAnsiTheme="minorHAnsi" w:cstheme="minorHAnsi"/>
        </w:rPr>
        <w:t>HbR</w:t>
      </w:r>
      <w:proofErr w:type="spellEnd"/>
      <w:r w:rsidRPr="0074595E">
        <w:rPr>
          <w:rFonts w:asciiTheme="minorHAnsi" w:hAnsiTheme="minorHAnsi" w:cstheme="minorHAnsi"/>
        </w:rPr>
        <w:t xml:space="preserve"> we can compute the oxygen extraction fraction (OEF) as </w:t>
      </w:r>
      <w:r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{"citationItems":[{"id":"ITEM-1","itemData":{"DOI":"10.1097/01.WCB.0000076703.71231.BB","ISBN":"0271-678X (Print)$\\$n0271-678X (Linking)","ISSN":"0271678X","PMID":"12902835","abstract":"Diffuse optical tomography (DOT) is an attractive approach for evaluating stroke physiology. It provides hemodynamic and metabolic imaging with unique potential for continuous noninvasive bedside imaging in humans. To date there have been few quantitative spatial-temporal studies of stroke pathophysiology based on diffuse optical signatures. The authors report DOT images of hemodynamic and metabolic contrasts using a rat middle cerebral artery occlusion (MCAO) stroke model. This study used a novel DOT device that concurrently obtains coregistered images of relative cerebral blood volume (rCBV), tissue-averaged hemoglobin oxygen saturation (Sto2), and relative cerebral blood flow (rCBF). The authors demonstrate how these hemodynamic measures can be synthesized to calculate an index of the oxygen extraction fraction (OEF) and the cerebral metabolic rate of oxygen consumption (CMRo2). Temporary (60-minute) MCAO was performed on five rats. Ischemic changes, averaged over the 60 minutes of occlusion, were as follows: rCBF = 0.42 ± 0.04, rCBV = 1.02 ± 0.04, ΔSto2 = -11 ± 2%, rOEF = 1.39 ± 0.06 and rCMRo2 = 0.59 ± 0.07. Although rOEF increased in response to decreased blood flow, rCMRo2 decreased. The sensitivity of this method of DOT analysis is discussed in terms of assumptions about baseline physiology, and the diffuse optical results are compared with positron emission tomography, magnetic resonance imaging, and histology observations in the literature.","author":[{"dropping-particle":"","family":"Culver","given":"Joseph P.","non-dropping-particle":"","parse-names":false,"suffix":""},{"dropping-particle":"","family":"Durduran","given":"Turgut","non-dropping-particle":"","parse-names":false,"suffix":""},{"dropping-particle":"","family":"Furuya","given":"Daisuke","non-dropping-particle":"","parse-names":false,"suffix":""},{"dropping-particle":"","family":"Cheung","given":"Cecil","non-dropping-particle":"","parse-names":false,"suffix":""},{"dropping-particle":"","family":"Greenberg","given":"Joel H.","non-dropping-particle":"","parse-names":false,"suffix":""},{"dropping-particle":"","family":"Yodh","given":"A. G.","non-dropping-particle":"","parse-names":false,"suffix":""}],"container-title":"Journal of Cerebral Blood Flow and Metabolism","id":"ITEM-1","issue":"8","issued":{"date-parts":[["2003","8"]]},"page":"911-924","title":"Diffuse optical tomography of cerebral blood flow, oxygenation, and metabolism in rat during focal ischemia","type":"article-journal","volume":"23"},"uris":["http://www.mendeley.com/documents/?uuid=8b4e811f-a998-4490-9e41-66b83ef82545"]},{"id":"ITEM-2","itemData":{"DOI":"10.1038/jcbfm.2013.214","ISBN":"0271-678x","ISSN":"0271678X","PMID":"24326385","abstract":"Neonatal congenital heart disease (CHD) is associated with altered cerebral hemodynamics and increased risk of brain injury. Two novel noninvasive techniques, magnetic resonance imaging (MRI) and diffuse optical and correlation spectroscopies (diffuse optical spectroscopy (DOS), diffuse correlation spectroscopy (DCS)), were employed to quantify cerebral blood flow (CBF) and oxygen metabolism (CMRO 2) of 32 anesthetized CHD neonates at rest and during hypercapnia. Cerebral venous oxygen saturation (S v O 2) and CBF were measured simultaneously with MRI in the superior sagittal sinus, yielding global oxygen extraction fraction (OEF) and global CMRO 2 in physiologic units. In addition, microvascular tissue oxygenation (StO 2) and indices of microvascular CBF (BFI) and CMRO 2 (CMRO 2i) in the frontal cortex were determined by DOS/DCS. Median resting-state MRI-measured OEF, CBF, and CMRO 2 were 0.38, 9.7 mL/minute per 100 g and 0.52 mL O 2 /minute per 100 g, respectively. These CBF and CMRO 2 values are lower than literature reports for healthy term neonates (which are sparse and quantified using different methods) and resemble values reported for premature infants. Comparison of MRI measurements of global S v O 2, CBF, and CMRO 2 with corresponding local DOS/DCS measurements demonstrated strong linear correlations (R 2 =0.69, 0.67, 0.67; P&lt;0.001), permitting calibration of DOS/DCS indices. The results suggest that MRI and optics offer new tools to evaluate cerebral hemodynamics and metabolism in CHD neonates. ©2014 ISCBFM All rights reserved.","author":[{"dropping-particle":"","family":"Jain","given":"Varsha","non-dropping-particle":"","parse-names":false,"suffix":""},{"dropping-particle":"","family":"Buckley","given":"Erin M.","non-dropping-particle":"","parse-names":false,"suffix":""},{"dropping-particle":"","family":"Licht","given":"Daniel J.","non-dropping-particle":"","parse-names":false,"suffix":""},{"dropping-particle":"","family":"Lynch","given":"Jennifer M.","non-dropping-particle":"","parse-names":false,"suffix":""},{"dropping-particle":"","family":"Schwab","given":"Peter J.","non-dropping-particle":"","parse-names":false,"suffix":""},{"dropping-particle":"","family":"Naim","given":"Maryam Y.","non-dropping-particle":"","parse-names":false,"suffix":""},{"dropping-particle":"","family":"Lavin","given":"Natasha A.","non-dropping-particle":"","parse-names":false,"suffix":""},{"dropping-particle":"","family":"Nicolson","given":"Susan C.","non-dropping-particle":"","parse-names":false,"suffix":""},{"dropping-particle":"","family":"Montenegro","given":"Lisa M.","non-dropping-particle":"","parse-names":false,"suffix":""},{"dropping-particle":"","family":"Yodh","given":"Arjun G.","non-dropping-particle":"","parse-names":false,"suffix":""},{"dropping-particle":"","family":"Wehrli","given":"Felix W.","non-dropping-particle":"","parse-names":false,"suffix":""}],"container-title":"Journal of Cerebral Blood Flow and Metabolism","id":"ITEM-2","issue":"3","issued":{"date-parts":[["2014","3"]]},"page":"380-388","publisher":"Nature Publishing Group","title":"Cerebral oxygen metabolism in neonates with congenital heart disease quantified by MRI and optics","type":"article-journal","volume":"34"},"uris":["http://www.mendeley.com/documents/?uuid=190332ed-6388-465f-878e-f22a04776338"]}],"mendeley":{"formattedCitation":"(Culver et al., 2003; Jain et al., 2014)","plainTextFormattedCitation":"(Culver et al., 2003; Jain et al., 2014)","previouslyFormattedCitation":"(Culver et al., 2003; Jain et al., 2014)"},"properties":{"noteIndex":0},"schema":"https://github.com/citation-style-language/schema/raw/master/csl-citation.json"}</w:instrText>
      </w:r>
      <w:r w:rsidRPr="0074595E">
        <w:rPr>
          <w:rFonts w:asciiTheme="minorHAnsi" w:hAnsiTheme="minorHAnsi" w:cstheme="minorHAnsi"/>
        </w:rPr>
        <w:fldChar w:fldCharType="separate"/>
      </w:r>
      <w:r w:rsidR="0074595E" w:rsidRPr="0074595E">
        <w:rPr>
          <w:rFonts w:asciiTheme="minorHAnsi" w:hAnsiTheme="minorHAnsi" w:cstheme="minorHAnsi"/>
          <w:noProof/>
        </w:rPr>
        <w:t>(Culver et al., 2003; Jain et al., 2014)</w:t>
      </w:r>
      <w:r w:rsidRPr="0074595E">
        <w:rPr>
          <w:rFonts w:asciiTheme="minorHAnsi" w:hAnsiTheme="minorHAnsi" w:cstheme="minorHAnsi"/>
        </w:rPr>
        <w:fldChar w:fldCharType="end"/>
      </w:r>
      <w:r w:rsidRPr="0074595E">
        <w:rPr>
          <w:rFonts w:asciiTheme="minorHAnsi" w:hAnsiTheme="minorHAnsi" w:cstheme="minorHAnsi"/>
        </w:rPr>
        <w:t>:</w:t>
      </w:r>
    </w:p>
    <w:p w14:paraId="1B07C175" w14:textId="7DAEEA42" w:rsidR="000819DC" w:rsidRPr="0074595E" w:rsidRDefault="000819DC" w:rsidP="0074595E">
      <w:pPr>
        <w:spacing w:before="240" w:after="240"/>
        <w:ind w:left="360"/>
        <w:jc w:val="center"/>
        <w:rPr>
          <w:rFonts w:asciiTheme="minorHAnsi" w:hAnsiTheme="minorHAnsi" w:cstheme="minorHAnsi"/>
        </w:rPr>
      </w:pPr>
      <m:oMath>
        <m:r>
          <w:rPr>
            <w:rFonts w:ascii="Cambria Math" w:hAnsi="Cambria Math" w:cstheme="minorHAnsi"/>
          </w:rPr>
          <m:t xml:space="preserve">OEF ~ 1.33 </m:t>
        </m:r>
        <m:d>
          <m:dPr>
            <m:ctrlPr>
              <w:rPr>
                <w:rFonts w:ascii="Cambria Math" w:hAnsi="Cambria Math" w:cstheme="minorHAnsi"/>
                <w:i/>
              </w:rPr>
            </m:ctrlPr>
          </m:dPr>
          <m:e>
            <m:r>
              <w:rPr>
                <w:rFonts w:ascii="Cambria Math" w:hAnsi="Cambria Math" w:cstheme="minorHAnsi"/>
              </w:rPr>
              <m:t>1 –</m:t>
            </m:r>
            <m:f>
              <m:fPr>
                <m:ctrlPr>
                  <w:rPr>
                    <w:rFonts w:ascii="Cambria Math" w:hAnsi="Cambria Math" w:cstheme="minorHAnsi"/>
                    <w:i/>
                  </w:rPr>
                </m:ctrlPr>
              </m:fPr>
              <m:num>
                <m:r>
                  <w:rPr>
                    <w:rFonts w:ascii="Cambria Math" w:hAnsi="Cambria Math" w:cstheme="minorHAnsi"/>
                  </w:rPr>
                  <m:t>HbO</m:t>
                </m:r>
              </m:num>
              <m:den>
                <m:r>
                  <w:rPr>
                    <w:rFonts w:ascii="Cambria Math" w:hAnsi="Cambria Math" w:cstheme="minorHAnsi"/>
                  </w:rPr>
                  <m:t>HbO + HbR</m:t>
                </m:r>
              </m:den>
            </m:f>
          </m:e>
        </m:d>
      </m:oMath>
      <w:r w:rsidRPr="0074595E">
        <w:rPr>
          <w:rFonts w:asciiTheme="minorHAnsi" w:hAnsiTheme="minorHAnsi" w:cstheme="minorHAnsi"/>
        </w:rPr>
        <w:t>.</w:t>
      </w:r>
    </w:p>
    <w:p w14:paraId="65385332" w14:textId="6F858E7D" w:rsidR="000819DC" w:rsidRPr="0074595E" w:rsidRDefault="000819DC" w:rsidP="0074595E">
      <w:pPr>
        <w:rPr>
          <w:rFonts w:asciiTheme="minorHAnsi" w:hAnsiTheme="minorHAnsi" w:cstheme="minorHAnsi"/>
        </w:rPr>
      </w:pPr>
      <w:r w:rsidRPr="0074595E">
        <w:rPr>
          <w:rFonts w:asciiTheme="minorHAnsi" w:hAnsiTheme="minorHAnsi" w:cstheme="minorHAnsi"/>
        </w:rPr>
        <w:t xml:space="preserve">For simplicity, we assumed that the oxygen saturation of the blood is 100% and assumed that the percentage of blood volume in the venous compartments is 75% </w:t>
      </w:r>
      <w:r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{"citationItems":[{"id":"ITEM-1","itemData":{"DOI":"10.1038/jcbfm.2013.214","ISBN":"0271-678x","ISSN":"0271678X","PMID":"24326385","abstract":"Neonatal congenital heart disease (CHD) is associated with altered cerebral hemodynamics and increased risk of brain injury. Two novel noninvasive techniques, magnetic resonance imaging (MRI) and diffuse optical and correlation spectroscopies (diffuse optical spectroscopy (DOS), diffuse correlation spectroscopy (DCS)), were employed to quantify cerebral blood flow (CBF) and oxygen metabolism (CMRO 2) of 32 anesthetized CHD neonates at rest and during hypercapnia. Cerebral venous oxygen saturation (S v O 2) and CBF were measured simultaneously with MRI in the superior sagittal sinus, yielding global oxygen extraction fraction (OEF) and global CMRO 2 in physiologic units. In addition, microvascular tissue oxygenation (StO 2) and indices of microvascular CBF (BFI) and CMRO 2 (CMRO 2i) in the frontal cortex were determined by DOS/DCS. Median resting-state MRI-measured OEF, CBF, and CMRO 2 were 0.38, 9.7 mL/minute per 100 g and 0.52 mL O 2 /minute per 100 g, respectively. These CBF and CMRO 2 values are lower than literature reports for healthy term neonates (which are sparse and quantified using different methods) and resemble values reported for premature infants. Comparison of MRI measurements of global S v O 2, CBF, and CMRO 2 with corresponding local DOS/DCS measurements demonstrated strong linear correlations (R 2 =0.69, 0.67, 0.67; P&lt;0.001), permitting calibration of DOS/DCS indices. The results suggest that MRI and optics offer new tools to evaluate cerebral hemodynamics and metabolism in CHD neonates. ©2014 ISCBFM All rights reserved.","author":[{"dropping-particle":"","family":"Jain","given":"Varsha","non-dropping-particle":"","parse-names":false,"suffix":""},{"dropping-particle":"","family":"Buckley","given":"Erin M.","non-dropping-particle":"","parse-names":false,"suffix":""},{"dropping-particle":"","family":"Licht","given":"Daniel J.","non-dropping-particle":"","parse-names":false,"suffix":""},{"dropping-particle":"","family":"Lynch","given":"Jennifer M.","non-dropping-particle":"","parse-names":false,"suffix":""},{"dropping-particle":"","family":"Schwab","given":"Peter J.","non-dropping-particle":"","parse-names":false,"suffix":""},{"dropping-particle":"","family":"Naim","given":"Maryam Y.","non-dropping-particle":"","parse-names":false,"suffix":""},{"dropping-particle":"","family":"Lavin","given":"Natasha A.","non-dropping-particle":"","parse-names":false,"suffix":""},{"dropping-particle":"","family":"Nicolson","given":"Susan C.","non-dropping-particle":"","parse-names":false,"suffix":""},{"dropping-particle":"","family":"Montenegro","given":"Lisa M.","non-dropping-particle":"","parse-names":false,"suffix":""},{"dropping-particle":"","family":"Yodh","given":"Arjun G.","non-dropping-particle":"","parse-names":false,"suffix":""},{"dropping-particle":"","family":"Wehrli","given":"Felix W.","non-dropping-particle":"","parse-names":false,"suffix":""}],"container-title":"Journal of Cerebral Blood Flow and Metabolism","id":"ITEM-1","issue":"3","issued":{"date-parts":[["2014","3"]]},"page":"380-388","publisher":"Nature Publishing Group","title":"Cerebral oxygen metabolism in neonates with congenital heart disease quantified by MRI and optics","type":"article-journal","volume":"34"},"uris":["http://www.mendeley.com/documents/?uuid=190332ed-6388-465f-878e-f22a04776338"]}],"mendeley":{"formattedCitation":"(Jain et al., 2014)","plainTextFormattedCitation":"(Jain et al., 2014)","previouslyFormattedCitation":"(Jain et al., 2014)"},"properties":{"noteIndex":0},"schema":"https://github.com/citation-style-language/schema/raw/master/csl-citation.json"}</w:instrText>
      </w:r>
      <w:r w:rsidRPr="0074595E">
        <w:rPr>
          <w:rFonts w:asciiTheme="minorHAnsi" w:hAnsiTheme="minorHAnsi" w:cstheme="minorHAnsi"/>
        </w:rPr>
        <w:fldChar w:fldCharType="separate"/>
      </w:r>
      <w:r w:rsidR="0074595E" w:rsidRPr="0074595E">
        <w:rPr>
          <w:rFonts w:asciiTheme="minorHAnsi" w:hAnsiTheme="minorHAnsi" w:cstheme="minorHAnsi"/>
          <w:noProof/>
        </w:rPr>
        <w:t>(Jain et al., 2014)</w:t>
      </w:r>
      <w:r w:rsidRPr="0074595E">
        <w:rPr>
          <w:rFonts w:asciiTheme="minorHAnsi" w:hAnsiTheme="minorHAnsi" w:cstheme="minorHAnsi"/>
        </w:rPr>
        <w:fldChar w:fldCharType="end"/>
      </w:r>
      <w:r w:rsidRPr="0074595E">
        <w:rPr>
          <w:rFonts w:asciiTheme="minorHAnsi" w:hAnsiTheme="minorHAnsi" w:cstheme="minorHAnsi"/>
        </w:rPr>
        <w:t>.</w:t>
      </w:r>
    </w:p>
    <w:p w14:paraId="3CDC9854" w14:textId="77777777" w:rsidR="000819DC" w:rsidRPr="0074595E" w:rsidRDefault="000819DC" w:rsidP="0074595E">
      <w:pPr>
        <w:ind w:left="360"/>
        <w:rPr>
          <w:rFonts w:asciiTheme="minorHAnsi" w:hAnsiTheme="minorHAnsi" w:cstheme="minorHAnsi"/>
        </w:rPr>
      </w:pPr>
      <w:r w:rsidRPr="0074595E">
        <w:rPr>
          <w:rFonts w:asciiTheme="minorHAnsi" w:hAnsiTheme="minorHAnsi" w:cstheme="minorHAnsi"/>
        </w:rPr>
        <w:tab/>
      </w:r>
    </w:p>
    <w:p w14:paraId="5E49633A" w14:textId="524BD5B8" w:rsidR="000819DC" w:rsidRPr="0074595E" w:rsidRDefault="000819DC" w:rsidP="0074595E">
      <w:pPr>
        <w:rPr>
          <w:rFonts w:asciiTheme="minorHAnsi" w:hAnsiTheme="minorHAnsi" w:cstheme="minorHAnsi"/>
        </w:rPr>
      </w:pPr>
      <w:r w:rsidRPr="0074595E">
        <w:rPr>
          <w:rFonts w:asciiTheme="minorHAnsi" w:hAnsiTheme="minorHAnsi" w:cstheme="minorHAnsi"/>
        </w:rPr>
        <w:t xml:space="preserve">To recover an index of CBF, we used the optical coefficients recovered from the FD-DOS data along with a semi-infinite model of the head to fit the DCS autocorrelation curves </w:t>
      </w:r>
      <w:r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{"citationItems":[{"id":"ITEM-1","itemData":{"DOI":"10.1088/0034-4885/73/7/076701","ISSN":"00344885","abstract":"This review describes the diffusion model for light transport in tissues and the medical applications of diffuse light. Diffuse optics is particularly useful for measurement of tissue hemodynamics, wherein quantitative assessment of oxy- and deoxy-hemoglobin concentrations and blood flow are desired. The theoretical basis for near-infrared or diffuse optical spectroscopy is developed, and the basic elements of diffuse optical tomography are outlined. We also discuss diffuse correlation spectroscopy, a technique whereby temporal correlation functions of diffusing light are transported through tissue and are used to measure blood flow. Essential instrumentation is described, and representative brain and breast functional imaging and monitoring results illustrate the workings of these new tissue diagnostics. © 2010 IOP Publishing Ltd.","author":[{"dropping-particle":"","family":"Durduran","given":"T.","non-dropping-particle":"","parse-names":false,"suffix":""},{"dropping-particle":"","family":"Choe","given":"R.","non-dropping-particle":"","parse-names":false,"suffix":""},{"dropping-particle":"","family":"Baker","given":"W. B.","non-dropping-particle":"","parse-names":false,"suffix":""},{"dropping-particle":"","family":"Yodh","given":"A. G.","non-dropping-particle":"","parse-names":false,"suffix":""}],"container-title":"Reports on Progress in Physics","id":"ITEM-1","issue":"7","issued":{"date-parts":[["2010"]]},"title":"Diffuse optics for tissue monitoring and tomography","type":"article-journal","volume":"73"},"uris":["http://www.mendeley.com/documents/?uuid=a3fa8e07-fce3-4b94-a4d0-5ce9d1b01afc"]},{"id":"ITEM-2","itemData":{"DOI":"10.2174/157340512803759875","ISSN":"15734056","abstract":"The development and clinical application of a novel near-infrared diffuse correlation spectroscopy (DCS) have been reviewed in this paper. DCS measures speckle fluctuations of near-infrared diffuse light in tissue, which are sensitive to the motions of red blood cells. DCS offers several new features which make it appealing for blood flow measurement such as noninvasiveness, high temporal resolution (up to 100 Hz), portability, and relatively large penetration depth (up to similar to 1.5 centimeters). DCS technology can be utilized for bedside monitoring of tissue blood flow as exemplified by applications involving tumors, brains, and skeletal muscles. In these investigations, DCS measurements show promise for quantification of tissue hemodynamic status, for diagnosis of vascular-related diseases (e. g., cancers, stroke, peripheral arterial disease), and for continuous monitoring and evaluation of therapeutic effects (e. g., chemotherapy, radiation therapy, photodynamic therapy, arterial revascularization).","author":[{"dropping-particle":"","family":"Yu","given":"Guoqiang","non-dropping-particle":"","parse-names":false,"suffix":""}],"container-title":"Current Medical Imaging Reviews","id":"ITEM-2","issue":"3","issued":{"date-parts":[["2012","10"]]},"page":"194-210","title":"Diffuse Correlation Spectroscopy (DCS): A Diagnostic Tool for Assessing Tissue Blood Flow in Vascular-Related Diseases and Therapies","type":"article-journal","volume":"8"},"uris":["http://www.mendeley.com/documents/?uuid=f4b7e04e-b559-4b37-9e98-a8a6c105c736"]},{"id":"ITEM-3","itemData":{"DOI":"10.1016/j.neuroimage.2013.06.017","ISBN":"1095-9572 (Electronic)$\\$r1053-8119 (Linking)","ISSN":"10538119","PMID":"23770408","abstract":"Diffuse correlation spectroscopy (DCS) uses the temporal fluctuations of near-infrared (NIR) light to measure cerebral blood flow (CBF) non-invasively. Here, we provide a brief history of DCS applications in the brain with an emphasis on the underlying physical ideas, common instrumentation and validation. Then we describe recent clinical research that employs DCS-measured CBF as a biomarker of patient well-being, and as an indicator of hemodynamic and metabolic responses to functional stimuli. ©2013 Elsevier Inc.","author":[{"dropping-particle":"","family":"Durduran","given":"Turgut","non-dropping-particle":"","parse-names":false,"suffix":""},{"dropping-particle":"","family":"Yodh","given":"Arjun G.","non-dropping-particle":"","parse-names":false,"suffix":""}],"container-title":"NeuroImage","id":"ITEM-3","issued":{"date-parts":[["2014"]]},"page":"5163","publisher":"Elsevier Inc.","title":"Diffuse correlation spectroscopy for non-invasive, micro-vascular cerebral blood flow measurement","type":"article-journal","volume":"85"},"uris":["http://www.mendeley.com/documents/?uuid=3a7f7a1c-ace4-43db-b1aa-803a3c0dedab"]}],"mendeley":{"formattedCitation":"(T. Durduran et al., 2010; Turgut Durduran &amp; Yodh, 2014; Yu, 2012)","plainTextFormattedCitation":"(T. Durduran et al., 2010; Turgut Durduran &amp; Yodh, 2014; Yu, 2012)","previouslyFormattedCitation":"(T. Durduran et al., 2010; Turgut Durduran &amp; Yodh, 2014; Yu, 2012)"},"properties":{"noteIndex":0},"schema":"https://github.com/citation-style-language/schema/raw/master/csl-citation.json"}</w:instrText>
      </w:r>
      <w:r w:rsidRPr="0074595E">
        <w:rPr>
          <w:rFonts w:asciiTheme="minorHAnsi" w:hAnsiTheme="minorHAnsi" w:cstheme="minorHAnsi"/>
        </w:rPr>
        <w:fldChar w:fldCharType="separate"/>
      </w:r>
      <w:r w:rsidR="0074595E" w:rsidRPr="0074595E">
        <w:rPr>
          <w:rFonts w:asciiTheme="minorHAnsi" w:hAnsiTheme="minorHAnsi" w:cstheme="minorHAnsi"/>
          <w:noProof/>
        </w:rPr>
        <w:t>(T. Durduran et al., 2010; Turgut Durduran &amp; Yodh, 2014; Yu, 2012)</w:t>
      </w:r>
      <w:r w:rsidRPr="0074595E">
        <w:rPr>
          <w:rFonts w:asciiTheme="minorHAnsi" w:hAnsiTheme="minorHAnsi" w:cstheme="minorHAnsi"/>
        </w:rPr>
        <w:fldChar w:fldCharType="end"/>
      </w:r>
      <w:r w:rsidRPr="0074595E">
        <w:rPr>
          <w:rFonts w:asciiTheme="minorHAnsi" w:hAnsiTheme="minorHAnsi" w:cstheme="minorHAnsi"/>
        </w:rPr>
        <w:t>. Since we are mostly interested in the cerebral physiological changes, the GUI only displays the largest source-detector separation, as it has the highest sensitivity to the cerebral tissues.</w:t>
      </w:r>
      <w:r w:rsidR="0074595E" w:rsidRPr="0074595E">
        <w:rPr>
          <w:rFonts w:asciiTheme="minorHAnsi" w:hAnsiTheme="minorHAnsi" w:cstheme="minorHAnsi"/>
        </w:rPr>
        <w:t xml:space="preserve">  </w:t>
      </w:r>
      <w:r w:rsidRPr="0074595E">
        <w:rPr>
          <w:rFonts w:asciiTheme="minorHAnsi" w:hAnsiTheme="minorHAnsi" w:cstheme="minorHAnsi"/>
        </w:rPr>
        <w:t>Finally, we combine the CBF and oxygenation measurements to derive the cerebral metabolic rate of oxygen (CMRO</w:t>
      </w:r>
      <w:r w:rsidRPr="0074595E">
        <w:rPr>
          <w:rFonts w:asciiTheme="minorHAnsi" w:hAnsiTheme="minorHAnsi" w:cstheme="minorHAnsi"/>
          <w:vertAlign w:val="subscript"/>
        </w:rPr>
        <w:t>2</w:t>
      </w:r>
      <w:r w:rsidRPr="0074595E">
        <w:rPr>
          <w:rFonts w:asciiTheme="minorHAnsi" w:hAnsiTheme="minorHAnsi" w:cstheme="minorHAnsi"/>
        </w:rPr>
        <w:t xml:space="preserve">) </w:t>
      </w:r>
      <w:r w:rsidRPr="0074595E">
        <w:rPr>
          <w:rFonts w:asciiTheme="minorHAnsi" w:hAnsiTheme="minorHAnsi" w:cstheme="minorHAnsi"/>
        </w:rPr>
        <w:fldChar w:fldCharType="begin" w:fldLock="1"/>
      </w:r>
      <w:r w:rsidR="0074595E" w:rsidRPr="0074595E">
        <w:rPr>
          <w:rFonts w:asciiTheme="minorHAnsi" w:hAnsiTheme="minorHAnsi" w:cstheme="minorHAnsi"/>
        </w:rPr>
        <w:instrText>ADDIN CSL_CITATION {"citationItems":[{"id":"ITEM-1","itemData":{"DOI":"10.1097/01.WCB.0000055178.31872.38","ISSN":"0271678X","abstract":"The cerebral blood flow (CBF) and cerebral metabolic rate of oxygen (CMRO2) are major determinants of the contrast in functional magnetic resonance imaging and optical imaging. However, the coupling between CBF and CMRO2 during cerebral activation remains controversial. Whereas most of the previous models tend to show a nonlinear coupling, experimental studies have led to conflicting conclusions. A physiologic model was developed of oxygen transport through the blood-brain barrier (BBB) for dynamic and stationary states. Common model simplifications are proposed and their implications for the CBF/CMRO2 relation are studied. The tissue oxygen pool, the BBB permeability, and the hemoglobin dissociation curve are physiologic parameters directly involved in the CBF/CMRO2 relation. We have been shown that the hypothesis of a negligible tissue oxygen pool, which was admitted by most of the previous models, implies a tight coupling between CBF and CMRO2. By relaxing this hypothesis, a real uncoupling was allowed that gives a more coherent view of the CBF/CMRO2 relation, in better agreement with the hypercapnia data and with the variability reported in experimental works for the relative changes of those two variables. This also allows a temporal mismatch between CBF and CMRO2, which influences the temporal shape of oxygenation at the capillary end.","author":[{"dropping-particle":"","family":"Valabrègue","given":"Romain","non-dropping-particle":"","parse-names":false,"suffix":""},{"dropping-particle":"","family":"Aubert","given":"Agnès","non-dropping-particle":"","parse-names":false,"suffix":""},{"dropping-particle":"","family":"Burger","given":"Jacques","non-dropping-particle":"","parse-names":false,"suffix":""},{"dropping-particle":"","family":"Bittoun","given":"Jacques","non-dropping-particle":"","parse-names":false,"suffix":""},{"dropping-particle":"","family":"Costalat","given":"Robert","non-dropping-particle":"","parse-names":false,"suffix":""}],"container-title":"Journal of Cerebral Blood Flow and Metabolism","id":"ITEM-1","issue":"5","issued":{"date-parts":[["2003","5"]]},"page":"536-545","title":"Relation between Cerebral Blood Flow and Metabolism Explained by a Model of Oxygen Exchange","type":"article-journal","volume":"23"},"uris":["http://www.mendeley.com/documents/?uuid=7fc902ad-d21a-4533-b017-822288c72331"]}],"mendeley":{"formattedCitation":"(Valabrègue et al., 2003)","plainTextFormattedCitation":"(Valabrègue et al., 2003)","previouslyFormattedCitation":"(Valabrègue et al., 2003)"},"properties":{"noteIndex":0},"schema":"https://github.com/citation-style-language/schema/raw/master/csl-citation.json"}</w:instrText>
      </w:r>
      <w:r w:rsidRPr="0074595E">
        <w:rPr>
          <w:rFonts w:asciiTheme="minorHAnsi" w:hAnsiTheme="minorHAnsi" w:cstheme="minorHAnsi"/>
        </w:rPr>
        <w:fldChar w:fldCharType="separate"/>
      </w:r>
      <w:r w:rsidR="0074595E" w:rsidRPr="0074595E">
        <w:rPr>
          <w:rFonts w:asciiTheme="minorHAnsi" w:hAnsiTheme="minorHAnsi" w:cstheme="minorHAnsi"/>
          <w:noProof/>
        </w:rPr>
        <w:t>(Valabrègue et al., 2003)</w:t>
      </w:r>
      <w:r w:rsidRPr="0074595E">
        <w:rPr>
          <w:rFonts w:asciiTheme="minorHAnsi" w:hAnsiTheme="minorHAnsi" w:cstheme="minorHAnsi"/>
        </w:rPr>
        <w:fldChar w:fldCharType="end"/>
      </w:r>
      <w:r w:rsidRPr="0074595E">
        <w:rPr>
          <w:rFonts w:asciiTheme="minorHAnsi" w:hAnsiTheme="minorHAnsi" w:cstheme="minorHAnsi"/>
        </w:rPr>
        <w:t>. The CMRO</w:t>
      </w:r>
      <w:r w:rsidRPr="0074595E">
        <w:rPr>
          <w:rFonts w:asciiTheme="minorHAnsi" w:hAnsiTheme="minorHAnsi" w:cstheme="minorHAnsi"/>
          <w:vertAlign w:val="subscript"/>
        </w:rPr>
        <w:t>2</w:t>
      </w:r>
      <w:r w:rsidRPr="0074595E">
        <w:rPr>
          <w:rFonts w:asciiTheme="minorHAnsi" w:hAnsiTheme="minorHAnsi" w:cstheme="minorHAnsi"/>
        </w:rPr>
        <w:t xml:space="preserve"> is computed using a steady state model and can be written as </w:t>
      </w:r>
      <m:oMath>
        <m:r>
          <w:rPr>
            <w:rFonts w:ascii="Cambria Math" w:hAnsi="Cambria Math" w:cstheme="minorHAnsi"/>
          </w:rPr>
          <m:t>CMR</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vertAlign w:val="subscript"/>
              </w:rPr>
              <m:t>2</m:t>
            </m:r>
          </m:sub>
        </m:sSub>
        <m:r>
          <w:rPr>
            <w:rFonts w:ascii="Cambria Math" w:hAnsi="Cambria Math" w:cstheme="minorHAnsi"/>
          </w:rPr>
          <m:t>∝ OEF×CBF</m:t>
        </m:r>
      </m:oMath>
      <w:r w:rsidRPr="0074595E">
        <w:rPr>
          <w:rFonts w:asciiTheme="minorHAnsi" w:hAnsiTheme="minorHAnsi" w:cstheme="minorHAnsi"/>
        </w:rPr>
        <w:t xml:space="preserve">. </w:t>
      </w:r>
    </w:p>
    <w:p w14:paraId="26C56C1D" w14:textId="16523500" w:rsidR="00AA22FE" w:rsidRPr="0074595E" w:rsidRDefault="00AA22FE" w:rsidP="000819DC">
      <w:pPr>
        <w:rPr>
          <w:rFonts w:asciiTheme="minorHAnsi" w:hAnsiTheme="minorHAnsi" w:cstheme="minorHAnsi"/>
        </w:rPr>
      </w:pPr>
    </w:p>
    <w:p w14:paraId="6AC810B9" w14:textId="497261DF" w:rsidR="0074595E" w:rsidRPr="0074595E" w:rsidRDefault="0074595E" w:rsidP="000819DC">
      <w:pPr>
        <w:rPr>
          <w:rFonts w:asciiTheme="minorHAnsi" w:hAnsiTheme="minorHAnsi" w:cstheme="minorHAnsi"/>
          <w:b/>
          <w:bCs/>
          <w:sz w:val="28"/>
          <w:szCs w:val="28"/>
        </w:rPr>
      </w:pPr>
      <w:r w:rsidRPr="0074595E">
        <w:rPr>
          <w:rFonts w:asciiTheme="minorHAnsi" w:hAnsiTheme="minorHAnsi" w:cstheme="minorHAnsi"/>
          <w:b/>
          <w:bCs/>
          <w:sz w:val="28"/>
          <w:szCs w:val="28"/>
        </w:rPr>
        <w:t>References</w:t>
      </w:r>
    </w:p>
    <w:p w14:paraId="69F9AB8E" w14:textId="2A3761B2" w:rsidR="0074595E" w:rsidRPr="0074595E" w:rsidRDefault="0074595E" w:rsidP="000819DC">
      <w:pPr>
        <w:rPr>
          <w:rFonts w:asciiTheme="minorHAnsi" w:hAnsiTheme="minorHAnsi" w:cstheme="minorHAnsi"/>
        </w:rPr>
      </w:pPr>
    </w:p>
    <w:p w14:paraId="35E4B3C6" w14:textId="30D92AF8"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rPr>
        <w:fldChar w:fldCharType="begin" w:fldLock="1"/>
      </w:r>
      <w:r w:rsidRPr="0074595E">
        <w:rPr>
          <w:rFonts w:asciiTheme="minorHAnsi" w:hAnsiTheme="minorHAnsi" w:cstheme="minorHAnsi"/>
        </w:rPr>
        <w:instrText xml:space="preserve">ADDIN Mendeley Bibliography CSL_BIBLIOGRAPHY </w:instrText>
      </w:r>
      <w:r w:rsidRPr="0074595E">
        <w:rPr>
          <w:rFonts w:asciiTheme="minorHAnsi" w:hAnsiTheme="minorHAnsi" w:cstheme="minorHAnsi"/>
        </w:rPr>
        <w:fldChar w:fldCharType="separate"/>
      </w:r>
      <w:r w:rsidRPr="0074595E">
        <w:rPr>
          <w:rFonts w:asciiTheme="minorHAnsi" w:hAnsiTheme="minorHAnsi" w:cstheme="minorHAnsi"/>
          <w:noProof/>
        </w:rPr>
        <w:t xml:space="preserve">Culver, J. P., Durduran, T., Furuya, D., Cheung, C., Greenberg, J. H., &amp; Yodh, A. G. (2003). Diffuse optical tomography of cerebral blood flow, oxygenation, and metabolism in rat during focal ischemia. </w:t>
      </w:r>
      <w:r w:rsidRPr="0074595E">
        <w:rPr>
          <w:rFonts w:asciiTheme="minorHAnsi" w:hAnsiTheme="minorHAnsi" w:cstheme="minorHAnsi"/>
          <w:i/>
          <w:iCs/>
          <w:noProof/>
        </w:rPr>
        <w:t>Journal of Cerebral Blood Flow and Metabolism</w:t>
      </w:r>
      <w:r w:rsidRPr="0074595E">
        <w:rPr>
          <w:rFonts w:asciiTheme="minorHAnsi" w:hAnsiTheme="minorHAnsi" w:cstheme="minorHAnsi"/>
          <w:noProof/>
        </w:rPr>
        <w:t xml:space="preserve">, </w:t>
      </w:r>
      <w:r w:rsidRPr="0074595E">
        <w:rPr>
          <w:rFonts w:asciiTheme="minorHAnsi" w:hAnsiTheme="minorHAnsi" w:cstheme="minorHAnsi"/>
          <w:i/>
          <w:iCs/>
          <w:noProof/>
        </w:rPr>
        <w:t>23</w:t>
      </w:r>
      <w:r w:rsidRPr="0074595E">
        <w:rPr>
          <w:rFonts w:asciiTheme="minorHAnsi" w:hAnsiTheme="minorHAnsi" w:cstheme="minorHAnsi"/>
          <w:noProof/>
        </w:rPr>
        <w:t>(8), 911–924. https://doi.org/10.1097/01.WCB.0000076703.71231.BB</w:t>
      </w:r>
    </w:p>
    <w:p w14:paraId="21D17E3C"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Durduran, T., Choe, R., Baker, W. B., &amp; Yodh, A. G. (2010). Diffuse optics for tissue monitoring and tomography. </w:t>
      </w:r>
      <w:r w:rsidRPr="0074595E">
        <w:rPr>
          <w:rFonts w:asciiTheme="minorHAnsi" w:hAnsiTheme="minorHAnsi" w:cstheme="minorHAnsi"/>
          <w:i/>
          <w:iCs/>
          <w:noProof/>
        </w:rPr>
        <w:t>Reports on Progress in Physics</w:t>
      </w:r>
      <w:r w:rsidRPr="0074595E">
        <w:rPr>
          <w:rFonts w:asciiTheme="minorHAnsi" w:hAnsiTheme="minorHAnsi" w:cstheme="minorHAnsi"/>
          <w:noProof/>
        </w:rPr>
        <w:t xml:space="preserve">, </w:t>
      </w:r>
      <w:r w:rsidRPr="0074595E">
        <w:rPr>
          <w:rFonts w:asciiTheme="minorHAnsi" w:hAnsiTheme="minorHAnsi" w:cstheme="minorHAnsi"/>
          <w:i/>
          <w:iCs/>
          <w:noProof/>
        </w:rPr>
        <w:t>73</w:t>
      </w:r>
      <w:r w:rsidRPr="0074595E">
        <w:rPr>
          <w:rFonts w:asciiTheme="minorHAnsi" w:hAnsiTheme="minorHAnsi" w:cstheme="minorHAnsi"/>
          <w:noProof/>
        </w:rPr>
        <w:t>(7). https://doi.org/10.1088/0034-4885/73/7/076701</w:t>
      </w:r>
    </w:p>
    <w:p w14:paraId="7CE48C53"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Durduran, Turgut, &amp; Yodh, A. G. (2014). Diffuse correlation spectroscopy for non-invasive, micro-vascular cerebral blood flow measurement. </w:t>
      </w:r>
      <w:r w:rsidRPr="0074595E">
        <w:rPr>
          <w:rFonts w:asciiTheme="minorHAnsi" w:hAnsiTheme="minorHAnsi" w:cstheme="minorHAnsi"/>
          <w:i/>
          <w:iCs/>
          <w:noProof/>
        </w:rPr>
        <w:t>NeuroImage</w:t>
      </w:r>
      <w:r w:rsidRPr="0074595E">
        <w:rPr>
          <w:rFonts w:asciiTheme="minorHAnsi" w:hAnsiTheme="minorHAnsi" w:cstheme="minorHAnsi"/>
          <w:noProof/>
        </w:rPr>
        <w:t xml:space="preserve">, </w:t>
      </w:r>
      <w:r w:rsidRPr="0074595E">
        <w:rPr>
          <w:rFonts w:asciiTheme="minorHAnsi" w:hAnsiTheme="minorHAnsi" w:cstheme="minorHAnsi"/>
          <w:i/>
          <w:iCs/>
          <w:noProof/>
        </w:rPr>
        <w:t>85</w:t>
      </w:r>
      <w:r w:rsidRPr="0074595E">
        <w:rPr>
          <w:rFonts w:asciiTheme="minorHAnsi" w:hAnsiTheme="minorHAnsi" w:cstheme="minorHAnsi"/>
          <w:noProof/>
        </w:rPr>
        <w:t>, 5163. https://doi.org/10.1016/j.neuroimage.2013.06.017</w:t>
      </w:r>
    </w:p>
    <w:p w14:paraId="66E845C2"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lastRenderedPageBreak/>
        <w:t xml:space="preserve">Hunter, J. D. (2007). Matplotlib: A 2D Graphics Environment. </w:t>
      </w:r>
      <w:r w:rsidRPr="0074595E">
        <w:rPr>
          <w:rFonts w:asciiTheme="minorHAnsi" w:hAnsiTheme="minorHAnsi" w:cstheme="minorHAnsi"/>
          <w:i/>
          <w:iCs/>
          <w:noProof/>
        </w:rPr>
        <w:t>Computing in Science &amp; Engineering</w:t>
      </w:r>
      <w:r w:rsidRPr="0074595E">
        <w:rPr>
          <w:rFonts w:asciiTheme="minorHAnsi" w:hAnsiTheme="minorHAnsi" w:cstheme="minorHAnsi"/>
          <w:noProof/>
        </w:rPr>
        <w:t xml:space="preserve">, </w:t>
      </w:r>
      <w:r w:rsidRPr="0074595E">
        <w:rPr>
          <w:rFonts w:asciiTheme="minorHAnsi" w:hAnsiTheme="minorHAnsi" w:cstheme="minorHAnsi"/>
          <w:i/>
          <w:iCs/>
          <w:noProof/>
        </w:rPr>
        <w:t>9</w:t>
      </w:r>
      <w:r w:rsidRPr="0074595E">
        <w:rPr>
          <w:rFonts w:asciiTheme="minorHAnsi" w:hAnsiTheme="minorHAnsi" w:cstheme="minorHAnsi"/>
          <w:noProof/>
        </w:rPr>
        <w:t>(3), 90–95. https://doi.org/10.1109/MCSE.2007.55</w:t>
      </w:r>
    </w:p>
    <w:p w14:paraId="77C91C2F"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Jain, V., Buckley, E. M., Licht, D. J., Lynch, J. M., Schwab, P. J., Naim, M. Y., Lavin, N. A., Nicolson, S. C., Montenegro, L. M., Yodh, A. G., &amp; Wehrli, F. W. (2014). Cerebral oxygen metabolism in neonates with congenital heart disease quantified by MRI and optics. </w:t>
      </w:r>
      <w:r w:rsidRPr="0074595E">
        <w:rPr>
          <w:rFonts w:asciiTheme="minorHAnsi" w:hAnsiTheme="minorHAnsi" w:cstheme="minorHAnsi"/>
          <w:i/>
          <w:iCs/>
          <w:noProof/>
        </w:rPr>
        <w:t>Journal of Cerebral Blood Flow and Metabolism</w:t>
      </w:r>
      <w:r w:rsidRPr="0074595E">
        <w:rPr>
          <w:rFonts w:asciiTheme="minorHAnsi" w:hAnsiTheme="minorHAnsi" w:cstheme="minorHAnsi"/>
          <w:noProof/>
        </w:rPr>
        <w:t xml:space="preserve">, </w:t>
      </w:r>
      <w:r w:rsidRPr="0074595E">
        <w:rPr>
          <w:rFonts w:asciiTheme="minorHAnsi" w:hAnsiTheme="minorHAnsi" w:cstheme="minorHAnsi"/>
          <w:i/>
          <w:iCs/>
          <w:noProof/>
        </w:rPr>
        <w:t>34</w:t>
      </w:r>
      <w:r w:rsidRPr="0074595E">
        <w:rPr>
          <w:rFonts w:asciiTheme="minorHAnsi" w:hAnsiTheme="minorHAnsi" w:cstheme="minorHAnsi"/>
          <w:noProof/>
        </w:rPr>
        <w:t>(3), 380–388. https://doi.org/10.1038/jcbfm.2013.214</w:t>
      </w:r>
    </w:p>
    <w:p w14:paraId="794B28D0"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Newville, M., Ingargiola, A., Stensitzki, T., &amp; Allen, D. B. (2014). LMFIT: Non-Linear Least-Square Minimization and Curve-Fitting for Python. </w:t>
      </w:r>
      <w:r w:rsidRPr="0074595E">
        <w:rPr>
          <w:rFonts w:asciiTheme="minorHAnsi" w:hAnsiTheme="minorHAnsi" w:cstheme="minorHAnsi"/>
          <w:i/>
          <w:iCs/>
          <w:noProof/>
        </w:rPr>
        <w:t>Zenodo</w:t>
      </w:r>
      <w:r w:rsidRPr="0074595E">
        <w:rPr>
          <w:rFonts w:asciiTheme="minorHAnsi" w:hAnsiTheme="minorHAnsi" w:cstheme="minorHAnsi"/>
          <w:noProof/>
        </w:rPr>
        <w:t>. https://doi.org/10.5281/ZENODO.11813</w:t>
      </w:r>
    </w:p>
    <w:p w14:paraId="5369A993"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Oliphant, T. E. (2007). SciPy: Open source scientific tools for Python. </w:t>
      </w:r>
      <w:r w:rsidRPr="0074595E">
        <w:rPr>
          <w:rFonts w:asciiTheme="minorHAnsi" w:hAnsiTheme="minorHAnsi" w:cstheme="minorHAnsi"/>
          <w:i/>
          <w:iCs/>
          <w:noProof/>
        </w:rPr>
        <w:t>Computing in Science and Engineering</w:t>
      </w:r>
      <w:r w:rsidRPr="0074595E">
        <w:rPr>
          <w:rFonts w:asciiTheme="minorHAnsi" w:hAnsiTheme="minorHAnsi" w:cstheme="minorHAnsi"/>
          <w:noProof/>
        </w:rPr>
        <w:t>. https://doi.org/10.1109/MCSE.2007.58</w:t>
      </w:r>
    </w:p>
    <w:p w14:paraId="179B498A"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Shang, Y., Li, T., &amp; Yu, G. (2017). Clinical applications of near-infrared diffuse correlation spectroscopy and tomography for tissue blood flow monitoring and imaging. </w:t>
      </w:r>
      <w:r w:rsidRPr="0074595E">
        <w:rPr>
          <w:rFonts w:asciiTheme="minorHAnsi" w:hAnsiTheme="minorHAnsi" w:cstheme="minorHAnsi"/>
          <w:i/>
          <w:iCs/>
          <w:noProof/>
        </w:rPr>
        <w:t>Physiological Measurement</w:t>
      </w:r>
      <w:r w:rsidRPr="0074595E">
        <w:rPr>
          <w:rFonts w:asciiTheme="minorHAnsi" w:hAnsiTheme="minorHAnsi" w:cstheme="minorHAnsi"/>
          <w:noProof/>
        </w:rPr>
        <w:t xml:space="preserve">, </w:t>
      </w:r>
      <w:r w:rsidRPr="0074595E">
        <w:rPr>
          <w:rFonts w:asciiTheme="minorHAnsi" w:hAnsiTheme="minorHAnsi" w:cstheme="minorHAnsi"/>
          <w:i/>
          <w:iCs/>
          <w:noProof/>
        </w:rPr>
        <w:t>38</w:t>
      </w:r>
      <w:r w:rsidRPr="0074595E">
        <w:rPr>
          <w:rFonts w:asciiTheme="minorHAnsi" w:hAnsiTheme="minorHAnsi" w:cstheme="minorHAnsi"/>
          <w:noProof/>
        </w:rPr>
        <w:t>(4), R1--R26. https://doi.org/10.1088/1361-6579/aa60b7</w:t>
      </w:r>
    </w:p>
    <w:p w14:paraId="3B610481"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Valabrègue, R., Aubert, A., Burger, J., Bittoun, J., &amp; Costalat, R. (2003). Relation between Cerebral Blood Flow and Metabolism Explained by a Model of Oxygen Exchange. </w:t>
      </w:r>
      <w:r w:rsidRPr="0074595E">
        <w:rPr>
          <w:rFonts w:asciiTheme="minorHAnsi" w:hAnsiTheme="minorHAnsi" w:cstheme="minorHAnsi"/>
          <w:i/>
          <w:iCs/>
          <w:noProof/>
        </w:rPr>
        <w:t>Journal of Cerebral Blood Flow and Metabolism</w:t>
      </w:r>
      <w:r w:rsidRPr="0074595E">
        <w:rPr>
          <w:rFonts w:asciiTheme="minorHAnsi" w:hAnsiTheme="minorHAnsi" w:cstheme="minorHAnsi"/>
          <w:noProof/>
        </w:rPr>
        <w:t xml:space="preserve">, </w:t>
      </w:r>
      <w:r w:rsidRPr="0074595E">
        <w:rPr>
          <w:rFonts w:asciiTheme="minorHAnsi" w:hAnsiTheme="minorHAnsi" w:cstheme="minorHAnsi"/>
          <w:i/>
          <w:iCs/>
          <w:noProof/>
        </w:rPr>
        <w:t>23</w:t>
      </w:r>
      <w:r w:rsidRPr="0074595E">
        <w:rPr>
          <w:rFonts w:asciiTheme="minorHAnsi" w:hAnsiTheme="minorHAnsi" w:cstheme="minorHAnsi"/>
          <w:noProof/>
        </w:rPr>
        <w:t>(5), 536–545. https://doi.org/10.1097/01.WCB.0000055178.31872.38</w:t>
      </w:r>
    </w:p>
    <w:p w14:paraId="13F6ACBF" w14:textId="77777777" w:rsidR="0074595E" w:rsidRPr="0074595E" w:rsidRDefault="0074595E" w:rsidP="0074595E">
      <w:pPr>
        <w:autoSpaceDE w:val="0"/>
        <w:autoSpaceDN w:val="0"/>
        <w:adjustRightInd w:val="0"/>
        <w:ind w:left="480" w:hanging="480"/>
        <w:rPr>
          <w:rFonts w:asciiTheme="minorHAnsi" w:hAnsiTheme="minorHAnsi" w:cstheme="minorHAnsi"/>
          <w:noProof/>
        </w:rPr>
      </w:pPr>
      <w:r w:rsidRPr="0074595E">
        <w:rPr>
          <w:rFonts w:asciiTheme="minorHAnsi" w:hAnsiTheme="minorHAnsi" w:cstheme="minorHAnsi"/>
          <w:noProof/>
        </w:rPr>
        <w:t xml:space="preserve">Yu, G. (2012). Diffuse Correlation Spectroscopy (DCS): A Diagnostic Tool for Assessing Tissue Blood Flow in Vascular-Related Diseases and Therapies. </w:t>
      </w:r>
      <w:r w:rsidRPr="0074595E">
        <w:rPr>
          <w:rFonts w:asciiTheme="minorHAnsi" w:hAnsiTheme="minorHAnsi" w:cstheme="minorHAnsi"/>
          <w:i/>
          <w:iCs/>
          <w:noProof/>
        </w:rPr>
        <w:t>Current Medical Imaging Reviews</w:t>
      </w:r>
      <w:r w:rsidRPr="0074595E">
        <w:rPr>
          <w:rFonts w:asciiTheme="minorHAnsi" w:hAnsiTheme="minorHAnsi" w:cstheme="minorHAnsi"/>
          <w:noProof/>
        </w:rPr>
        <w:t xml:space="preserve">, </w:t>
      </w:r>
      <w:r w:rsidRPr="0074595E">
        <w:rPr>
          <w:rFonts w:asciiTheme="minorHAnsi" w:hAnsiTheme="minorHAnsi" w:cstheme="minorHAnsi"/>
          <w:i/>
          <w:iCs/>
          <w:noProof/>
        </w:rPr>
        <w:t>8</w:t>
      </w:r>
      <w:r w:rsidRPr="0074595E">
        <w:rPr>
          <w:rFonts w:asciiTheme="minorHAnsi" w:hAnsiTheme="minorHAnsi" w:cstheme="minorHAnsi"/>
          <w:noProof/>
        </w:rPr>
        <w:t>(3), 194–210. https://doi.org/10.2174/157340512803759875</w:t>
      </w:r>
    </w:p>
    <w:p w14:paraId="29ABADDA" w14:textId="2D69045D" w:rsidR="0074595E" w:rsidRPr="0074595E" w:rsidRDefault="0074595E" w:rsidP="000819DC">
      <w:pPr>
        <w:rPr>
          <w:rFonts w:asciiTheme="minorHAnsi" w:hAnsiTheme="minorHAnsi" w:cstheme="minorHAnsi"/>
        </w:rPr>
      </w:pPr>
      <w:r w:rsidRPr="0074595E">
        <w:rPr>
          <w:rFonts w:asciiTheme="minorHAnsi" w:hAnsiTheme="minorHAnsi" w:cstheme="minorHAnsi"/>
        </w:rPr>
        <w:fldChar w:fldCharType="end"/>
      </w:r>
    </w:p>
    <w:sectPr w:rsidR="0074595E" w:rsidRPr="0074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4AE"/>
    <w:multiLevelType w:val="multilevel"/>
    <w:tmpl w:val="4148CD0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DC"/>
    <w:rsid w:val="000819DC"/>
    <w:rsid w:val="0074595E"/>
    <w:rsid w:val="00A40396"/>
    <w:rsid w:val="00AA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D473"/>
  <w15:chartTrackingRefBased/>
  <w15:docId w15:val="{F5DB06F3-25E4-4772-A694-B1F1DE2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DC"/>
    <w:pPr>
      <w:widowControl w:val="0"/>
      <w:spacing w:after="0" w:line="240" w:lineRule="auto"/>
      <w:jc w:val="both"/>
    </w:pPr>
    <w:rPr>
      <w:rFonts w:ascii="Calibri" w:eastAsia="Calibri" w:hAnsi="Calibri" w:cs="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sid w:val="000819DC"/>
    <w:rPr>
      <w:sz w:val="20"/>
      <w:szCs w:val="20"/>
    </w:rPr>
  </w:style>
  <w:style w:type="character" w:customStyle="1" w:styleId="TextodecomentrioChar">
    <w:name w:val="Texto de comentário Char"/>
    <w:basedOn w:val="Fontepargpadro"/>
    <w:link w:val="Textodecomentrio"/>
    <w:uiPriority w:val="99"/>
    <w:semiHidden/>
    <w:rsid w:val="000819DC"/>
    <w:rPr>
      <w:rFonts w:ascii="Calibri" w:eastAsia="Calibri" w:hAnsi="Calibri" w:cs="Calibri"/>
      <w:sz w:val="20"/>
      <w:szCs w:val="20"/>
    </w:rPr>
  </w:style>
  <w:style w:type="character" w:styleId="Refdecomentrio">
    <w:name w:val="annotation reference"/>
    <w:basedOn w:val="Fontepargpadro"/>
    <w:uiPriority w:val="99"/>
    <w:semiHidden/>
    <w:unhideWhenUsed/>
    <w:rsid w:val="000819DC"/>
    <w:rPr>
      <w:sz w:val="16"/>
      <w:szCs w:val="16"/>
    </w:rPr>
  </w:style>
  <w:style w:type="paragraph" w:styleId="Textodebalo">
    <w:name w:val="Balloon Text"/>
    <w:basedOn w:val="Normal"/>
    <w:link w:val="TextodebaloChar"/>
    <w:uiPriority w:val="99"/>
    <w:semiHidden/>
    <w:unhideWhenUsed/>
    <w:rsid w:val="000819DC"/>
    <w:rPr>
      <w:rFonts w:ascii="Segoe UI" w:hAnsi="Segoe UI" w:cs="Segoe UI"/>
      <w:sz w:val="18"/>
      <w:szCs w:val="18"/>
    </w:rPr>
  </w:style>
  <w:style w:type="character" w:customStyle="1" w:styleId="TextodebaloChar">
    <w:name w:val="Texto de balão Char"/>
    <w:basedOn w:val="Fontepargpadro"/>
    <w:link w:val="Textodebalo"/>
    <w:uiPriority w:val="99"/>
    <w:semiHidden/>
    <w:rsid w:val="000819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4467</Words>
  <Characters>25463</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Forti</dc:creator>
  <cp:keywords/>
  <dc:description/>
  <cp:lastModifiedBy>Rodrigo Forti</cp:lastModifiedBy>
  <cp:revision>2</cp:revision>
  <dcterms:created xsi:type="dcterms:W3CDTF">2020-06-22T16:13:00Z</dcterms:created>
  <dcterms:modified xsi:type="dcterms:W3CDTF">2020-07-06T20:37:00Z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http://www.zotero.org/styles/journal-of-visualized-experiments</vt:lpwstr>
  </property>
  <property fmtid="{D5CDD505-2E9C-101B-9397-08002B2CF9AE}" pid="15" name="Mendeley Recent Style Name 6_1">
    <vt:lpwstr>Journal of Visualized Experiments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b5800ff9-2ef3-3cbf-92eb-30f6c81975a1</vt:lpwstr>
  </property>
  <property fmtid="{D5CDD505-2E9C-101B-9397-08002B2CF9AE}" pid="24" name="Mendeley Citation Style_1">
    <vt:lpwstr>http://www.zotero.org/styles/apa</vt:lpwstr>
  </property>
</Properties>
</file>