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74C6" w14:textId="4CEF1D8B" w:rsidR="00EF102B" w:rsidRPr="00EF102B" w:rsidRDefault="00890B66" w:rsidP="00EF102B">
      <w:pPr>
        <w:spacing w:line="480" w:lineRule="auto"/>
        <w:rPr>
          <w:szCs w:val="24"/>
        </w:rPr>
      </w:pPr>
      <w:r>
        <w:rPr>
          <w:rFonts w:hint="eastAsia"/>
          <w:b/>
          <w:szCs w:val="24"/>
        </w:rPr>
        <w:t>Supple</w:t>
      </w:r>
      <w:r>
        <w:rPr>
          <w:b/>
          <w:szCs w:val="24"/>
        </w:rPr>
        <w:t xml:space="preserve">mentary </w:t>
      </w:r>
      <w:r w:rsidR="00EF102B" w:rsidRPr="00EF102B">
        <w:rPr>
          <w:b/>
          <w:szCs w:val="24"/>
        </w:rPr>
        <w:t>Fig</w:t>
      </w:r>
      <w:r w:rsidR="00CF571D">
        <w:rPr>
          <w:b/>
          <w:szCs w:val="24"/>
        </w:rPr>
        <w:t>ure</w:t>
      </w:r>
      <w:r w:rsidR="00EF102B" w:rsidRPr="00EF102B">
        <w:rPr>
          <w:b/>
          <w:szCs w:val="24"/>
        </w:rPr>
        <w:t xml:space="preserve"> S</w:t>
      </w:r>
      <w:r w:rsidR="00D43C1E">
        <w:rPr>
          <w:b/>
          <w:szCs w:val="24"/>
        </w:rPr>
        <w:t>2</w:t>
      </w:r>
      <w:r w:rsidR="00A6682D">
        <w:rPr>
          <w:b/>
          <w:szCs w:val="24"/>
        </w:rPr>
        <w:t>:</w:t>
      </w:r>
      <w:r w:rsidR="00EF102B" w:rsidRPr="00EF102B">
        <w:rPr>
          <w:b/>
          <w:szCs w:val="24"/>
        </w:rPr>
        <w:t xml:space="preserve"> </w:t>
      </w:r>
      <w:r w:rsidR="00EF102B" w:rsidRPr="00EF102B">
        <w:rPr>
          <w:szCs w:val="24"/>
        </w:rPr>
        <w:t>Steps used to calculate the Ca</w:t>
      </w:r>
      <w:r w:rsidR="00EF102B" w:rsidRPr="00EF102B">
        <w:rPr>
          <w:szCs w:val="24"/>
          <w:vertAlign w:val="superscript"/>
        </w:rPr>
        <w:t>2+</w:t>
      </w:r>
      <w:r w:rsidR="00EF102B" w:rsidRPr="00EF102B">
        <w:rPr>
          <w:szCs w:val="24"/>
        </w:rPr>
        <w:t xml:space="preserve"> fluorescence intensity at </w:t>
      </w:r>
      <w:r>
        <w:rPr>
          <w:szCs w:val="24"/>
        </w:rPr>
        <w:t>protoplast of fruit cell</w:t>
      </w:r>
      <w:r w:rsidR="00EF102B" w:rsidRPr="00EF102B">
        <w:rPr>
          <w:szCs w:val="24"/>
        </w:rPr>
        <w:t xml:space="preserve">. Fluorescence intensity units used in this study are based on previous reports </w:t>
      </w:r>
      <w:r w:rsidR="00512015">
        <w:rPr>
          <w:rFonts w:hint="eastAsia"/>
          <w:szCs w:val="24"/>
        </w:rPr>
        <w:t>[</w:t>
      </w:r>
      <w:r w:rsidR="00512015">
        <w:rPr>
          <w:szCs w:val="24"/>
        </w:rPr>
        <w:t>26-29</w:t>
      </w:r>
      <w:r w:rsidR="00EF102B">
        <w:rPr>
          <w:szCs w:val="24"/>
        </w:rPr>
        <w:t>]</w:t>
      </w:r>
      <w:r w:rsidR="00EF102B" w:rsidRPr="00EF102B">
        <w:rPr>
          <w:szCs w:val="24"/>
        </w:rPr>
        <w:t>.</w:t>
      </w:r>
    </w:p>
    <w:p w14:paraId="4BF1B5AF" w14:textId="77777777" w:rsidR="00EF102B" w:rsidRPr="00EF102B" w:rsidRDefault="00EF102B" w:rsidP="00EF102B">
      <w:pPr>
        <w:spacing w:line="480" w:lineRule="auto"/>
        <w:rPr>
          <w:szCs w:val="24"/>
        </w:rPr>
      </w:pPr>
      <w:r w:rsidRPr="00EF102B">
        <w:rPr>
          <w:szCs w:val="24"/>
        </w:rPr>
        <w:t>The calculation process is as follows:</w:t>
      </w:r>
    </w:p>
    <w:p w14:paraId="12D3C7AE" w14:textId="3A9A5F8B" w:rsidR="00EF102B" w:rsidRPr="00EF102B" w:rsidRDefault="00191032" w:rsidP="00EF102B">
      <w:pPr>
        <w:spacing w:line="480" w:lineRule="auto"/>
        <w:rPr>
          <w:szCs w:val="24"/>
        </w:rPr>
      </w:pPr>
      <w:r w:rsidRPr="00191032">
        <w:rPr>
          <w:bCs/>
          <w:szCs w:val="24"/>
        </w:rPr>
        <w:t>(</w:t>
      </w:r>
      <w:r>
        <w:rPr>
          <w:b/>
          <w:szCs w:val="24"/>
        </w:rPr>
        <w:t>A</w:t>
      </w:r>
      <w:r w:rsidRPr="00191032">
        <w:rPr>
          <w:bCs/>
          <w:szCs w:val="24"/>
        </w:rPr>
        <w:t>)</w:t>
      </w:r>
      <w:r>
        <w:rPr>
          <w:b/>
          <w:szCs w:val="24"/>
        </w:rPr>
        <w:t xml:space="preserve"> </w:t>
      </w:r>
      <w:r w:rsidR="00EF102B" w:rsidRPr="00191032">
        <w:rPr>
          <w:bCs/>
          <w:szCs w:val="24"/>
        </w:rPr>
        <w:t xml:space="preserve">First step: </w:t>
      </w:r>
      <w:r w:rsidR="00EF102B" w:rsidRPr="00EF102B">
        <w:rPr>
          <w:szCs w:val="24"/>
        </w:rPr>
        <w:t xml:space="preserve">Use the software Image-Pro Plus to open the </w:t>
      </w:r>
      <w:r w:rsidR="00890B66">
        <w:rPr>
          <w:szCs w:val="24"/>
        </w:rPr>
        <w:t>protoplast</w:t>
      </w:r>
      <w:r w:rsidR="00EF102B" w:rsidRPr="00EF102B">
        <w:rPr>
          <w:szCs w:val="24"/>
        </w:rPr>
        <w:t xml:space="preserve"> fluorescence image, click on the "Measure" tool on the toolbar and then select "Profile Line" from the drop-down menu. </w:t>
      </w:r>
    </w:p>
    <w:p w14:paraId="61A00E2A" w14:textId="1EA9E17C" w:rsidR="00EF102B" w:rsidRPr="00EF102B" w:rsidRDefault="00191032" w:rsidP="00EF102B">
      <w:pPr>
        <w:spacing w:line="480" w:lineRule="auto"/>
        <w:rPr>
          <w:szCs w:val="24"/>
        </w:rPr>
      </w:pPr>
      <w:r w:rsidRPr="00191032">
        <w:rPr>
          <w:bCs/>
          <w:szCs w:val="24"/>
        </w:rPr>
        <w:t>(</w:t>
      </w:r>
      <w:r>
        <w:rPr>
          <w:b/>
          <w:szCs w:val="24"/>
        </w:rPr>
        <w:t>B</w:t>
      </w:r>
      <w:r w:rsidRPr="00191032">
        <w:rPr>
          <w:bCs/>
          <w:szCs w:val="24"/>
        </w:rPr>
        <w:t>)</w:t>
      </w:r>
      <w:r>
        <w:rPr>
          <w:b/>
          <w:szCs w:val="24"/>
        </w:rPr>
        <w:t xml:space="preserve"> </w:t>
      </w:r>
      <w:r w:rsidR="00EF102B" w:rsidRPr="00191032">
        <w:rPr>
          <w:bCs/>
          <w:szCs w:val="24"/>
        </w:rPr>
        <w:t>Second step:</w:t>
      </w:r>
      <w:r w:rsidR="00EF102B" w:rsidRPr="00EF102B">
        <w:rPr>
          <w:b/>
          <w:szCs w:val="24"/>
        </w:rPr>
        <w:t xml:space="preserve"> </w:t>
      </w:r>
      <w:r w:rsidR="00EF102B" w:rsidRPr="00EF102B">
        <w:rPr>
          <w:szCs w:val="24"/>
        </w:rPr>
        <w:t xml:space="preserve">Select the “Circle” in the “Line Profile” window and draw an ellipse at </w:t>
      </w:r>
      <w:r w:rsidR="00890B66">
        <w:rPr>
          <w:szCs w:val="24"/>
        </w:rPr>
        <w:t>protoplast</w:t>
      </w:r>
      <w:r w:rsidR="00EF102B" w:rsidRPr="00EF102B">
        <w:rPr>
          <w:szCs w:val="24"/>
        </w:rPr>
        <w:t>.</w:t>
      </w:r>
    </w:p>
    <w:p w14:paraId="544C44B0" w14:textId="5B78BED8" w:rsidR="00EF102B" w:rsidRPr="00EF102B" w:rsidRDefault="00191032" w:rsidP="00EF102B">
      <w:pPr>
        <w:spacing w:line="480" w:lineRule="auto"/>
        <w:rPr>
          <w:szCs w:val="24"/>
        </w:rPr>
      </w:pPr>
      <w:r w:rsidRPr="00191032">
        <w:rPr>
          <w:bCs/>
          <w:szCs w:val="24"/>
        </w:rPr>
        <w:t>(</w:t>
      </w:r>
      <w:r>
        <w:rPr>
          <w:b/>
          <w:szCs w:val="24"/>
        </w:rPr>
        <w:t>C</w:t>
      </w:r>
      <w:r w:rsidRPr="00191032">
        <w:rPr>
          <w:bCs/>
          <w:szCs w:val="24"/>
        </w:rPr>
        <w:t>)</w:t>
      </w:r>
      <w:r>
        <w:rPr>
          <w:b/>
          <w:szCs w:val="24"/>
        </w:rPr>
        <w:t xml:space="preserve"> </w:t>
      </w:r>
      <w:r w:rsidR="00EF102B" w:rsidRPr="00191032">
        <w:rPr>
          <w:bCs/>
          <w:szCs w:val="24"/>
        </w:rPr>
        <w:t>Third step:</w:t>
      </w:r>
      <w:r w:rsidR="00EF102B" w:rsidRPr="00EF102B">
        <w:rPr>
          <w:b/>
          <w:szCs w:val="24"/>
        </w:rPr>
        <w:t xml:space="preserve"> </w:t>
      </w:r>
      <w:r w:rsidR="00EF102B" w:rsidRPr="00EF102B">
        <w:rPr>
          <w:szCs w:val="24"/>
        </w:rPr>
        <w:t>Click the “File” in the “Line Profile” window and then click “Export data” from the drop-down menu.</w:t>
      </w:r>
    </w:p>
    <w:p w14:paraId="0CF3EF34" w14:textId="3382A0F6" w:rsidR="00EF102B" w:rsidRPr="00EF102B" w:rsidRDefault="00191032" w:rsidP="00EF102B">
      <w:pPr>
        <w:spacing w:line="480" w:lineRule="auto"/>
        <w:rPr>
          <w:szCs w:val="24"/>
        </w:rPr>
      </w:pPr>
      <w:r w:rsidRPr="00191032">
        <w:rPr>
          <w:bCs/>
          <w:szCs w:val="24"/>
        </w:rPr>
        <w:t>(</w:t>
      </w:r>
      <w:r>
        <w:rPr>
          <w:b/>
          <w:szCs w:val="24"/>
        </w:rPr>
        <w:t>D</w:t>
      </w:r>
      <w:r w:rsidRPr="00191032">
        <w:rPr>
          <w:bCs/>
          <w:szCs w:val="24"/>
        </w:rPr>
        <w:t>)</w:t>
      </w:r>
      <w:r>
        <w:rPr>
          <w:b/>
          <w:szCs w:val="24"/>
        </w:rPr>
        <w:t xml:space="preserve"> </w:t>
      </w:r>
      <w:r w:rsidR="00EF102B" w:rsidRPr="00191032">
        <w:rPr>
          <w:bCs/>
          <w:szCs w:val="24"/>
        </w:rPr>
        <w:t>Fourth step:</w:t>
      </w:r>
      <w:r w:rsidR="00EF102B" w:rsidRPr="00EF102B">
        <w:rPr>
          <w:szCs w:val="24"/>
        </w:rPr>
        <w:t xml:space="preserve"> If the blank Excel form has already been opened, click "Data Export" to automatically import the data into the Excel form. Use the Excel function (AVERAGE) to calculate the average fluorescence intensity within the ellipse. </w:t>
      </w:r>
    </w:p>
    <w:p w14:paraId="052C5A83" w14:textId="3C13C468" w:rsidR="00EF102B" w:rsidRPr="00EF102B" w:rsidRDefault="00EF102B" w:rsidP="00EF102B">
      <w:pPr>
        <w:spacing w:line="480" w:lineRule="auto"/>
        <w:rPr>
          <w:szCs w:val="24"/>
        </w:rPr>
      </w:pPr>
      <w:r w:rsidRPr="00EF102B">
        <w:rPr>
          <w:szCs w:val="24"/>
        </w:rPr>
        <w:t xml:space="preserve">Each treatment was repeated three times with more than </w:t>
      </w:r>
      <w:r w:rsidR="00890B66">
        <w:rPr>
          <w:szCs w:val="24"/>
        </w:rPr>
        <w:t>2</w:t>
      </w:r>
      <w:r w:rsidRPr="00EF102B">
        <w:rPr>
          <w:szCs w:val="24"/>
        </w:rPr>
        <w:t xml:space="preserve">0 </w:t>
      </w:r>
      <w:r w:rsidR="00890B66">
        <w:rPr>
          <w:szCs w:val="24"/>
        </w:rPr>
        <w:t>protoplasts</w:t>
      </w:r>
      <w:r w:rsidRPr="00EF102B">
        <w:rPr>
          <w:szCs w:val="24"/>
        </w:rPr>
        <w:t xml:space="preserve"> each.</w:t>
      </w:r>
    </w:p>
    <w:p w14:paraId="1199050C" w14:textId="516FD94A" w:rsidR="00413489" w:rsidRDefault="00191032">
      <w:pPr>
        <w:widowControl/>
        <w:jc w:val="left"/>
        <w:rPr>
          <w:szCs w:val="24"/>
        </w:rPr>
      </w:pPr>
      <w:r>
        <w:rPr>
          <w:noProof/>
          <w:szCs w:val="24"/>
        </w:rPr>
        <w:lastRenderedPageBreak/>
        <w:drawing>
          <wp:inline distT="0" distB="0" distL="0" distR="0" wp14:anchorId="4AEFC51F" wp14:editId="7D3E4EA6">
            <wp:extent cx="5278120" cy="85521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8120" cy="8552180"/>
                    </a:xfrm>
                    <a:prstGeom prst="rect">
                      <a:avLst/>
                    </a:prstGeom>
                  </pic:spPr>
                </pic:pic>
              </a:graphicData>
            </a:graphic>
          </wp:inline>
        </w:drawing>
      </w:r>
    </w:p>
    <w:p w14:paraId="36634C57" w14:textId="77777777" w:rsidR="00413489" w:rsidRPr="00EF102B" w:rsidRDefault="00413489" w:rsidP="00EF102B">
      <w:pPr>
        <w:widowControl/>
        <w:jc w:val="left"/>
      </w:pPr>
      <w:r>
        <w:rPr>
          <w:highlight w:val="yellow"/>
        </w:rPr>
        <w:br w:type="page"/>
      </w:r>
      <w:r w:rsidRPr="00EF102B">
        <w:lastRenderedPageBreak/>
        <w:t>Reference</w:t>
      </w:r>
      <w:r w:rsidR="00EF102B" w:rsidRPr="00EF102B">
        <w:t>s</w:t>
      </w:r>
    </w:p>
    <w:p w14:paraId="1A747B2D" w14:textId="5ED2951F" w:rsidR="00413489" w:rsidRPr="00BA3EBE" w:rsidRDefault="00BA3EBE" w:rsidP="00413489">
      <w:pPr>
        <w:ind w:left="720" w:hanging="720"/>
        <w:rPr>
          <w:noProof/>
          <w:sz w:val="20"/>
        </w:rPr>
      </w:pPr>
      <w:bookmarkStart w:id="0" w:name="_Hlk84794623"/>
      <w:r w:rsidRPr="00BA3EBE">
        <w:rPr>
          <w:rFonts w:eastAsia="等线"/>
          <w:iCs/>
        </w:rPr>
        <w:t xml:space="preserve">AK, H., E, P., and VE, P. Tbx6 regulates left/right patterning in mouse embryos through effects on nodal cilia and perinodal signaling. </w:t>
      </w:r>
      <w:r w:rsidRPr="00BA3EBE">
        <w:rPr>
          <w:rFonts w:eastAsia="等线"/>
          <w:i/>
        </w:rPr>
        <w:t>PLoS One.</w:t>
      </w:r>
      <w:r w:rsidRPr="00BA3EBE">
        <w:rPr>
          <w:rFonts w:eastAsia="等线"/>
          <w:iCs/>
        </w:rPr>
        <w:t xml:space="preserve"> </w:t>
      </w:r>
      <w:r w:rsidRPr="00BA3EBE">
        <w:rPr>
          <w:rFonts w:eastAsia="等线"/>
          <w:b/>
          <w:bCs/>
          <w:iCs/>
        </w:rPr>
        <w:t>3</w:t>
      </w:r>
      <w:r w:rsidRPr="00BA3EBE">
        <w:rPr>
          <w:rFonts w:eastAsia="等线"/>
          <w:iCs/>
        </w:rPr>
        <w:t xml:space="preserve"> (6</w:t>
      </w:r>
      <w:r w:rsidRPr="00BA3EBE">
        <w:rPr>
          <w:rFonts w:eastAsia="等线" w:hint="eastAsia"/>
          <w:iCs/>
        </w:rPr>
        <w:t>),</w:t>
      </w:r>
      <w:r w:rsidRPr="00BA3EBE">
        <w:rPr>
          <w:rFonts w:eastAsia="等线"/>
          <w:iCs/>
        </w:rPr>
        <w:t xml:space="preserve"> e2511, (2008).</w:t>
      </w:r>
    </w:p>
    <w:p w14:paraId="01A63176" w14:textId="3EB7136C" w:rsidR="00413489" w:rsidRPr="00BA3EBE" w:rsidRDefault="00BA3EBE" w:rsidP="00413489">
      <w:pPr>
        <w:ind w:left="720" w:hanging="720"/>
        <w:rPr>
          <w:noProof/>
          <w:sz w:val="20"/>
        </w:rPr>
      </w:pPr>
      <w:r w:rsidRPr="00BA3EBE">
        <w:rPr>
          <w:rFonts w:eastAsia="等线"/>
          <w:iCs/>
        </w:rPr>
        <w:t xml:space="preserve">DeSimone, J. A. </w:t>
      </w:r>
      <w:r w:rsidRPr="00BA3EBE">
        <w:rPr>
          <w:rFonts w:eastAsia="等线"/>
          <w:i/>
          <w:iCs/>
        </w:rPr>
        <w:t>et al</w:t>
      </w:r>
      <w:r w:rsidRPr="00BA3EBE">
        <w:rPr>
          <w:rFonts w:eastAsia="等线"/>
        </w:rPr>
        <w:t>.</w:t>
      </w:r>
      <w:r w:rsidRPr="00BA3EBE">
        <w:rPr>
          <w:rFonts w:eastAsia="等线"/>
          <w:iCs/>
        </w:rPr>
        <w:t xml:space="preserve"> Changes in taste receptor cell [Ca</w:t>
      </w:r>
      <w:r w:rsidRPr="00BA3EBE">
        <w:rPr>
          <w:rFonts w:eastAsia="等线"/>
          <w:iCs/>
          <w:vertAlign w:val="superscript"/>
        </w:rPr>
        <w:t>2+</w:t>
      </w:r>
      <w:r w:rsidRPr="00BA3EBE">
        <w:rPr>
          <w:rFonts w:eastAsia="等线"/>
          <w:iCs/>
        </w:rPr>
        <w:t xml:space="preserve">]i modulate chorda tympani responses to salty and sour taste stimuli. </w:t>
      </w:r>
      <w:r w:rsidRPr="00BA3EBE">
        <w:rPr>
          <w:rFonts w:eastAsia="等线"/>
          <w:i/>
        </w:rPr>
        <w:t>Journal of Neurophysiology.</w:t>
      </w:r>
      <w:r w:rsidRPr="00BA3EBE">
        <w:rPr>
          <w:rFonts w:eastAsia="等线"/>
          <w:iCs/>
        </w:rPr>
        <w:t xml:space="preserve"> </w:t>
      </w:r>
      <w:r w:rsidRPr="00BA3EBE">
        <w:rPr>
          <w:rFonts w:eastAsia="等线"/>
          <w:b/>
          <w:bCs/>
          <w:iCs/>
        </w:rPr>
        <w:t xml:space="preserve">108 </w:t>
      </w:r>
      <w:r w:rsidRPr="00BA3EBE">
        <w:rPr>
          <w:rFonts w:eastAsia="等线"/>
          <w:iCs/>
        </w:rPr>
        <w:t>(12), 3206-3220, (2012).</w:t>
      </w:r>
    </w:p>
    <w:p w14:paraId="5FC4339D" w14:textId="47B9EE48" w:rsidR="00413489" w:rsidRPr="00BA3EBE" w:rsidRDefault="00BA3EBE" w:rsidP="00413489">
      <w:pPr>
        <w:ind w:left="720" w:hanging="720"/>
        <w:rPr>
          <w:noProof/>
          <w:sz w:val="20"/>
        </w:rPr>
      </w:pPr>
      <w:r w:rsidRPr="00BA3EBE">
        <w:rPr>
          <w:rFonts w:eastAsia="等线"/>
          <w:iCs/>
        </w:rPr>
        <w:t xml:space="preserve">Kao, J. P., Harootunian, A. T., and Tsien, R. Y. Photochemically generated cytosolic calcium pulses and their detection by fluo-3. </w:t>
      </w:r>
      <w:r w:rsidRPr="00BA3EBE">
        <w:rPr>
          <w:rFonts w:eastAsia="等线"/>
          <w:i/>
        </w:rPr>
        <w:t>Journal of Biological Chemistry.</w:t>
      </w:r>
      <w:r w:rsidRPr="00BA3EBE">
        <w:rPr>
          <w:rFonts w:eastAsia="等线"/>
          <w:iCs/>
        </w:rPr>
        <w:t xml:space="preserve"> </w:t>
      </w:r>
      <w:r w:rsidRPr="00BA3EBE">
        <w:rPr>
          <w:rFonts w:eastAsia="等线"/>
          <w:b/>
          <w:bCs/>
          <w:iCs/>
        </w:rPr>
        <w:t>264</w:t>
      </w:r>
      <w:r w:rsidRPr="00BA3EBE">
        <w:rPr>
          <w:rFonts w:eastAsia="等线"/>
          <w:iCs/>
        </w:rPr>
        <w:t xml:space="preserve"> (14), 8179-8184, (1989).</w:t>
      </w:r>
    </w:p>
    <w:bookmarkEnd w:id="0"/>
    <w:p w14:paraId="5D3C9017" w14:textId="1862E324" w:rsidR="00413489" w:rsidRPr="00D602D0" w:rsidRDefault="00BA3EBE" w:rsidP="0024343A">
      <w:pPr>
        <w:ind w:left="720" w:hanging="720"/>
        <w:rPr>
          <w:szCs w:val="24"/>
        </w:rPr>
      </w:pPr>
      <w:r w:rsidRPr="00BA3EBE">
        <w:rPr>
          <w:rFonts w:eastAsia="等线"/>
        </w:rPr>
        <w:t xml:space="preserve">Merritt, J. E., Mccarthy, S. A., Davies, M., &amp; Moores, K. E. Use of fluo-3 to measure cytosolic </w:t>
      </w:r>
      <w:r w:rsidRPr="00BA3EBE">
        <w:rPr>
          <w:rFonts w:eastAsia="等线"/>
          <w:iCs/>
        </w:rPr>
        <w:t>Ca</w:t>
      </w:r>
      <w:r w:rsidRPr="00BA3EBE">
        <w:rPr>
          <w:rFonts w:eastAsia="等线"/>
          <w:iCs/>
          <w:vertAlign w:val="superscript"/>
        </w:rPr>
        <w:t>2+</w:t>
      </w:r>
      <w:r w:rsidRPr="00BA3EBE">
        <w:rPr>
          <w:rFonts w:eastAsia="等线"/>
        </w:rPr>
        <w:t xml:space="preserve"> in platelets and neutrophils. Loading cells with the dye, calibration of traces, measurements in the presence of plasma, and buffering of cytosolic </w:t>
      </w:r>
      <w:r w:rsidRPr="00BA3EBE">
        <w:rPr>
          <w:rFonts w:eastAsia="等线"/>
          <w:iCs/>
        </w:rPr>
        <w:t>Ca</w:t>
      </w:r>
      <w:r w:rsidRPr="00BA3EBE">
        <w:rPr>
          <w:rFonts w:eastAsia="等线"/>
          <w:iCs/>
          <w:vertAlign w:val="superscript"/>
        </w:rPr>
        <w:t>2+</w:t>
      </w:r>
      <w:r w:rsidRPr="00BA3EBE">
        <w:rPr>
          <w:rFonts w:eastAsia="等线"/>
        </w:rPr>
        <w:t xml:space="preserve">. </w:t>
      </w:r>
      <w:r w:rsidRPr="00BA3EBE">
        <w:rPr>
          <w:rFonts w:eastAsia="等线"/>
          <w:i/>
          <w:iCs/>
        </w:rPr>
        <w:t>Biochemical Journal.</w:t>
      </w:r>
      <w:r w:rsidRPr="00BA3EBE">
        <w:rPr>
          <w:rFonts w:eastAsia="等线"/>
        </w:rPr>
        <w:t xml:space="preserve"> </w:t>
      </w:r>
      <w:r w:rsidRPr="00BA3EBE">
        <w:rPr>
          <w:rFonts w:eastAsia="等线"/>
          <w:b/>
          <w:bCs/>
        </w:rPr>
        <w:t>269</w:t>
      </w:r>
      <w:r w:rsidRPr="00BA3EBE">
        <w:rPr>
          <w:rFonts w:eastAsia="等线"/>
        </w:rPr>
        <w:t xml:space="preserve"> (2), </w:t>
      </w:r>
      <w:r w:rsidRPr="00BA3EBE">
        <w:rPr>
          <w:rFonts w:eastAsia="等线"/>
          <w:iCs/>
        </w:rPr>
        <w:t>513-519,</w:t>
      </w:r>
      <w:r w:rsidRPr="00BA3EBE">
        <w:rPr>
          <w:rFonts w:eastAsia="等线"/>
        </w:rPr>
        <w:t xml:space="preserve"> (1990).</w:t>
      </w:r>
    </w:p>
    <w:sectPr w:rsidR="00413489" w:rsidRPr="00D602D0" w:rsidSect="00EF102B">
      <w:pgSz w:w="11906" w:h="16838" w:code="9"/>
      <w:pgMar w:top="1440" w:right="1797" w:bottom="1440" w:left="1797"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6B33" w14:textId="77777777" w:rsidR="001D5729" w:rsidRDefault="001D5729" w:rsidP="0037379B">
      <w:r>
        <w:separator/>
      </w:r>
    </w:p>
  </w:endnote>
  <w:endnote w:type="continuationSeparator" w:id="0">
    <w:p w14:paraId="444D0D12" w14:textId="77777777" w:rsidR="001D5729" w:rsidRDefault="001D5729" w:rsidP="0037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7590" w14:textId="77777777" w:rsidR="001D5729" w:rsidRDefault="001D5729" w:rsidP="0037379B">
      <w:r>
        <w:separator/>
      </w:r>
    </w:p>
  </w:footnote>
  <w:footnote w:type="continuationSeparator" w:id="0">
    <w:p w14:paraId="0D324637" w14:textId="77777777" w:rsidR="001D5729" w:rsidRDefault="001D5729" w:rsidP="00373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2MTM0NDA1NDcxtDRW0lEKTi0uzszPAykwqQUA/DyTLCwAAAA="/>
  </w:docVars>
  <w:rsids>
    <w:rsidRoot w:val="00B83FE0"/>
    <w:rsid w:val="000F5202"/>
    <w:rsid w:val="000F7512"/>
    <w:rsid w:val="00191032"/>
    <w:rsid w:val="001B4295"/>
    <w:rsid w:val="001C6CF8"/>
    <w:rsid w:val="001D5729"/>
    <w:rsid w:val="001F7F4A"/>
    <w:rsid w:val="0024343A"/>
    <w:rsid w:val="003252F6"/>
    <w:rsid w:val="00330C37"/>
    <w:rsid w:val="0037379B"/>
    <w:rsid w:val="00386BE4"/>
    <w:rsid w:val="00413489"/>
    <w:rsid w:val="004C4B6C"/>
    <w:rsid w:val="004E418B"/>
    <w:rsid w:val="00512015"/>
    <w:rsid w:val="00603A2F"/>
    <w:rsid w:val="0060561F"/>
    <w:rsid w:val="00630179"/>
    <w:rsid w:val="006756EE"/>
    <w:rsid w:val="006823FC"/>
    <w:rsid w:val="006D1746"/>
    <w:rsid w:val="00890B66"/>
    <w:rsid w:val="00925D88"/>
    <w:rsid w:val="00934F8D"/>
    <w:rsid w:val="009879C5"/>
    <w:rsid w:val="009A0A97"/>
    <w:rsid w:val="00A020B9"/>
    <w:rsid w:val="00A6682D"/>
    <w:rsid w:val="00B33805"/>
    <w:rsid w:val="00B83FE0"/>
    <w:rsid w:val="00BA3EBE"/>
    <w:rsid w:val="00BB52CD"/>
    <w:rsid w:val="00BF4871"/>
    <w:rsid w:val="00C72CAE"/>
    <w:rsid w:val="00CD6CAA"/>
    <w:rsid w:val="00CF571D"/>
    <w:rsid w:val="00D43C1E"/>
    <w:rsid w:val="00D51D7E"/>
    <w:rsid w:val="00D602D0"/>
    <w:rsid w:val="00EB7349"/>
    <w:rsid w:val="00EF102B"/>
    <w:rsid w:val="00F14005"/>
    <w:rsid w:val="00F578E1"/>
    <w:rsid w:val="00FB4047"/>
    <w:rsid w:val="00FE33DA"/>
    <w:rsid w:val="00FF3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75D0B"/>
  <w15:chartTrackingRefBased/>
  <w15:docId w15:val="{AB79FBD4-A467-4CE9-A5DA-2644C505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02B"/>
    <w:pPr>
      <w:widowControl w:val="0"/>
      <w:jc w:val="both"/>
    </w:pPr>
    <w:rPr>
      <w:rFonts w:ascii="Times New Roman"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79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37379B"/>
    <w:rPr>
      <w:sz w:val="18"/>
      <w:szCs w:val="18"/>
    </w:rPr>
  </w:style>
  <w:style w:type="paragraph" w:styleId="a5">
    <w:name w:val="footer"/>
    <w:basedOn w:val="a"/>
    <w:link w:val="a6"/>
    <w:uiPriority w:val="99"/>
    <w:unhideWhenUsed/>
    <w:rsid w:val="0037379B"/>
    <w:pPr>
      <w:tabs>
        <w:tab w:val="center" w:pos="4153"/>
        <w:tab w:val="right" w:pos="8306"/>
      </w:tabs>
      <w:snapToGrid w:val="0"/>
      <w:jc w:val="left"/>
    </w:pPr>
    <w:rPr>
      <w:sz w:val="18"/>
      <w:szCs w:val="18"/>
    </w:rPr>
  </w:style>
  <w:style w:type="character" w:customStyle="1" w:styleId="a6">
    <w:name w:val="页脚 字符"/>
    <w:link w:val="a5"/>
    <w:uiPriority w:val="99"/>
    <w:rsid w:val="0037379B"/>
    <w:rPr>
      <w:sz w:val="18"/>
      <w:szCs w:val="18"/>
    </w:rPr>
  </w:style>
  <w:style w:type="character" w:styleId="a7">
    <w:name w:val="line number"/>
    <w:uiPriority w:val="99"/>
    <w:semiHidden/>
    <w:unhideWhenUsed/>
    <w:rsid w:val="00EF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272</Words>
  <Characters>1553</Characters>
  <Application>Microsoft Office Word</Application>
  <DocSecurity>0</DocSecurity>
  <Lines>12</Lines>
  <Paragraphs>3</Paragraphs>
  <ScaleCrop>false</ScaleCrop>
  <Company>微软中国</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仇丽娜</cp:lastModifiedBy>
  <cp:revision>8</cp:revision>
  <dcterms:created xsi:type="dcterms:W3CDTF">2021-08-03T09:32:00Z</dcterms:created>
  <dcterms:modified xsi:type="dcterms:W3CDTF">2021-10-11T13:20:00Z</dcterms:modified>
</cp:coreProperties>
</file>