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89F32" w14:textId="77777777" w:rsidR="00321B55" w:rsidRDefault="00000000">
      <w:pPr>
        <w:spacing w:before="240" w:after="240"/>
        <w:rPr>
          <w:rFonts w:ascii="Times New Roman" w:eastAsia="Times New Roman" w:hAnsi="Times New Roman" w:cs="Times New Roman"/>
          <w:b/>
          <w:sz w:val="32"/>
          <w:szCs w:val="32"/>
        </w:rPr>
      </w:pPr>
      <w:r>
        <w:rPr>
          <w:rFonts w:ascii="Times New Roman" w:eastAsia="Times New Roman" w:hAnsi="Times New Roman" w:cs="Times New Roman"/>
          <w:b/>
          <w:sz w:val="32"/>
          <w:szCs w:val="32"/>
        </w:rPr>
        <w:t>A Gaze-Contingent Display Framework for Perceptual Learning Research with Simulated Central Vision Loss</w:t>
      </w:r>
    </w:p>
    <w:p w14:paraId="09503DD9" w14:textId="77777777" w:rsidR="00321B55" w:rsidRDefault="00000000">
      <w:pPr>
        <w:spacing w:before="240" w:after="240"/>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rPr>
        <w:t>Marcello Maniglia</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Samyukta Jayakumar</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Pinar Demirayak</w:t>
      </w:r>
      <w:r>
        <w:rPr>
          <w:rFonts w:ascii="Times New Roman" w:eastAsia="Times New Roman" w:hAnsi="Times New Roman" w:cs="Times New Roman"/>
          <w:sz w:val="24"/>
          <w:szCs w:val="24"/>
          <w:vertAlign w:val="superscript"/>
        </w:rPr>
        <w:t>2,3</w:t>
      </w:r>
      <w:r>
        <w:rPr>
          <w:rFonts w:ascii="Times New Roman" w:eastAsia="Times New Roman" w:hAnsi="Times New Roman" w:cs="Times New Roman"/>
          <w:sz w:val="24"/>
          <w:szCs w:val="24"/>
        </w:rPr>
        <w:t>*, Elliot Maxwell</w:t>
      </w:r>
      <w:r>
        <w:rPr>
          <w:rFonts w:ascii="Times New Roman" w:eastAsia="Times New Roman" w:hAnsi="Times New Roman" w:cs="Times New Roman"/>
          <w:sz w:val="24"/>
          <w:szCs w:val="24"/>
          <w:vertAlign w:val="superscript"/>
        </w:rPr>
        <w:t>2,3</w:t>
      </w:r>
      <w:r>
        <w:rPr>
          <w:rFonts w:ascii="Times New Roman" w:eastAsia="Times New Roman" w:hAnsi="Times New Roman" w:cs="Times New Roman"/>
          <w:sz w:val="24"/>
          <w:szCs w:val="24"/>
        </w:rPr>
        <w:t>, Diya Anand</w:t>
      </w:r>
      <w:r>
        <w:rPr>
          <w:rFonts w:ascii="Times New Roman" w:eastAsia="Times New Roman" w:hAnsi="Times New Roman" w:cs="Times New Roman"/>
          <w:sz w:val="24"/>
          <w:szCs w:val="24"/>
          <w:vertAlign w:val="superscript"/>
        </w:rPr>
        <w:t>1,4</w:t>
      </w:r>
      <w:r>
        <w:rPr>
          <w:rFonts w:ascii="Times New Roman" w:eastAsia="Times New Roman" w:hAnsi="Times New Roman" w:cs="Times New Roman"/>
          <w:sz w:val="24"/>
          <w:szCs w:val="24"/>
        </w:rPr>
        <w:t>, Jamison Cortez</w:t>
      </w:r>
      <w:r>
        <w:rPr>
          <w:rFonts w:ascii="Times New Roman" w:eastAsia="Times New Roman" w:hAnsi="Times New Roman" w:cs="Times New Roman"/>
          <w:sz w:val="24"/>
          <w:szCs w:val="24"/>
          <w:vertAlign w:val="superscript"/>
        </w:rPr>
        <w:t xml:space="preserve">1 </w:t>
      </w:r>
      <w:r>
        <w:rPr>
          <w:rFonts w:ascii="Times New Roman" w:eastAsia="Times New Roman" w:hAnsi="Times New Roman" w:cs="Times New Roman"/>
          <w:sz w:val="24"/>
          <w:szCs w:val="24"/>
        </w:rPr>
        <w:t>, Jason E. Vice</w:t>
      </w:r>
      <w:r>
        <w:rPr>
          <w:rFonts w:ascii="Times New Roman" w:eastAsia="Times New Roman" w:hAnsi="Times New Roman" w:cs="Times New Roman"/>
          <w:sz w:val="24"/>
          <w:szCs w:val="24"/>
          <w:vertAlign w:val="superscript"/>
        </w:rPr>
        <w:t>5</w:t>
      </w:r>
      <w:r>
        <w:rPr>
          <w:rFonts w:ascii="Times New Roman" w:eastAsia="Times New Roman" w:hAnsi="Times New Roman" w:cs="Times New Roman"/>
          <w:sz w:val="24"/>
          <w:szCs w:val="24"/>
        </w:rPr>
        <w:t>, Kristina M. Visscher</w:t>
      </w:r>
      <w:r>
        <w:rPr>
          <w:rFonts w:ascii="Times New Roman" w:eastAsia="Times New Roman" w:hAnsi="Times New Roman" w:cs="Times New Roman"/>
          <w:sz w:val="24"/>
          <w:szCs w:val="24"/>
          <w:vertAlign w:val="superscript"/>
        </w:rPr>
        <w:t>2,3</w:t>
      </w:r>
      <w:r>
        <w:rPr>
          <w:rFonts w:ascii="Times New Roman" w:eastAsia="Times New Roman" w:hAnsi="Times New Roman" w:cs="Times New Roman"/>
          <w:sz w:val="24"/>
          <w:szCs w:val="24"/>
        </w:rPr>
        <w:t>, Aaron R. Seitz</w:t>
      </w:r>
      <w:r>
        <w:rPr>
          <w:rFonts w:ascii="Times New Roman" w:eastAsia="Times New Roman" w:hAnsi="Times New Roman" w:cs="Times New Roman"/>
          <w:sz w:val="24"/>
          <w:szCs w:val="24"/>
          <w:vertAlign w:val="superscript"/>
        </w:rPr>
        <w:t>1,4</w:t>
      </w:r>
    </w:p>
    <w:p w14:paraId="66616AE6" w14:textId="77777777" w:rsidR="00321B55" w:rsidRDefault="00000000">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Department of Psychology, University of California, Riverside, California, USA</w:t>
      </w:r>
    </w:p>
    <w:p w14:paraId="424ED4D1" w14:textId="77777777" w:rsidR="00321B55" w:rsidRDefault="00000000">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Civitan International Research Center, University of Alabama at Birmingham, Birmingham, Alabama, USA</w:t>
      </w:r>
    </w:p>
    <w:p w14:paraId="654738E7" w14:textId="77777777" w:rsidR="00321B55" w:rsidRDefault="00000000">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Department of Neurobiology, Heersink School of Medicine, University of Alabama at Birmingham, Birmingham, Alabama, USA</w:t>
      </w:r>
    </w:p>
    <w:p w14:paraId="785EF418" w14:textId="77777777" w:rsidR="00321B55" w:rsidRDefault="00000000">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4</w:t>
      </w:r>
      <w:r>
        <w:rPr>
          <w:rFonts w:ascii="Times New Roman" w:eastAsia="Times New Roman" w:hAnsi="Times New Roman" w:cs="Times New Roman"/>
          <w:sz w:val="24"/>
          <w:szCs w:val="24"/>
        </w:rPr>
        <w:t>Department of Psychology, Northeastern University, Boston, Massachusetts, USA</w:t>
      </w:r>
    </w:p>
    <w:p w14:paraId="6DC7386C" w14:textId="77777777" w:rsidR="00321B55" w:rsidRDefault="00000000">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5</w:t>
      </w:r>
      <w:r>
        <w:rPr>
          <w:rFonts w:ascii="Times New Roman" w:eastAsia="Times New Roman" w:hAnsi="Times New Roman" w:cs="Times New Roman"/>
          <w:sz w:val="24"/>
          <w:szCs w:val="24"/>
        </w:rPr>
        <w:t>Department of Occupational Therapy, University of Alabama at Birmingham, Birmingham, Alabama, USA</w:t>
      </w:r>
    </w:p>
    <w:p w14:paraId="0ECC833E" w14:textId="77777777" w:rsidR="00321B55" w:rsidRDefault="00321B55">
      <w:pPr>
        <w:spacing w:before="240" w:after="240"/>
        <w:rPr>
          <w:rFonts w:ascii="Times New Roman" w:eastAsia="Times New Roman" w:hAnsi="Times New Roman" w:cs="Times New Roman"/>
          <w:b/>
          <w:sz w:val="24"/>
          <w:szCs w:val="24"/>
        </w:rPr>
      </w:pPr>
    </w:p>
    <w:p w14:paraId="56D3ACAD" w14:textId="77777777" w:rsidR="00321B55" w:rsidRDefault="00321B55">
      <w:pPr>
        <w:spacing w:before="240" w:after="240"/>
        <w:rPr>
          <w:rFonts w:ascii="Times New Roman" w:eastAsia="Times New Roman" w:hAnsi="Times New Roman" w:cs="Times New Roman"/>
          <w:b/>
          <w:sz w:val="24"/>
          <w:szCs w:val="24"/>
        </w:rPr>
      </w:pPr>
    </w:p>
    <w:p w14:paraId="119449CF" w14:textId="77777777" w:rsidR="00321B55" w:rsidRDefault="00321B55">
      <w:pPr>
        <w:spacing w:before="240" w:after="240"/>
        <w:rPr>
          <w:rFonts w:ascii="Times New Roman" w:eastAsia="Times New Roman" w:hAnsi="Times New Roman" w:cs="Times New Roman"/>
          <w:b/>
          <w:sz w:val="24"/>
          <w:szCs w:val="24"/>
        </w:rPr>
      </w:pPr>
    </w:p>
    <w:p w14:paraId="00E03F54" w14:textId="77777777" w:rsidR="00321B55" w:rsidRDefault="00000000">
      <w:pPr>
        <w:spacing w:before="240" w:after="240"/>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These authors contributed equally to this work and shared first authorship</w:t>
      </w:r>
    </w:p>
    <w:p w14:paraId="35EA24AD" w14:textId="77777777" w:rsidR="00321B55" w:rsidRDefault="00000000">
      <w:pPr>
        <w:spacing w:before="240" w:after="240"/>
        <w:rPr>
          <w:rFonts w:ascii="Times New Roman" w:eastAsia="Times New Roman" w:hAnsi="Times New Roman" w:cs="Times New Roman"/>
          <w:sz w:val="24"/>
          <w:szCs w:val="24"/>
        </w:rPr>
      </w:pPr>
      <w:r>
        <w:rPr>
          <w:rFonts w:ascii="Times New Roman" w:eastAsia="Times New Roman" w:hAnsi="Times New Roman" w:cs="Times New Roman"/>
          <w:b/>
          <w:sz w:val="24"/>
          <w:szCs w:val="24"/>
        </w:rPr>
        <w:t>Corresponding author:</w:t>
      </w:r>
      <w:r>
        <w:rPr>
          <w:rFonts w:ascii="Times New Roman" w:eastAsia="Times New Roman" w:hAnsi="Times New Roman" w:cs="Times New Roman"/>
          <w:sz w:val="24"/>
          <w:szCs w:val="24"/>
        </w:rPr>
        <w:t xml:space="preserve"> Marcello Maniglia (</w:t>
      </w:r>
      <w:hyperlink r:id="rId5">
        <w:r w:rsidR="00321B55">
          <w:rPr>
            <w:rFonts w:ascii="Times New Roman" w:eastAsia="Times New Roman" w:hAnsi="Times New Roman" w:cs="Times New Roman"/>
            <w:sz w:val="24"/>
            <w:szCs w:val="24"/>
            <w:u w:val="single"/>
          </w:rPr>
          <w:t>mmanig@ucr.edu</w:t>
        </w:r>
      </w:hyperlink>
      <w:r>
        <w:rPr>
          <w:rFonts w:ascii="Times New Roman" w:eastAsia="Times New Roman" w:hAnsi="Times New Roman" w:cs="Times New Roman"/>
          <w:sz w:val="24"/>
          <w:szCs w:val="24"/>
        </w:rPr>
        <w:t>)</w:t>
      </w:r>
    </w:p>
    <w:p w14:paraId="728DCC4D" w14:textId="77777777" w:rsidR="00321B55" w:rsidRDefault="00321B55">
      <w:pPr>
        <w:spacing w:before="240" w:after="240"/>
        <w:rPr>
          <w:rFonts w:ascii="Times New Roman" w:eastAsia="Times New Roman" w:hAnsi="Times New Roman" w:cs="Times New Roman"/>
          <w:b/>
          <w:sz w:val="32"/>
          <w:szCs w:val="32"/>
        </w:rPr>
      </w:pPr>
    </w:p>
    <w:p w14:paraId="44E387E7" w14:textId="77777777" w:rsidR="00321B55" w:rsidRDefault="00000000">
      <w:pPr>
        <w:spacing w:before="240" w:after="240"/>
        <w:rPr>
          <w:rFonts w:ascii="Times New Roman" w:eastAsia="Times New Roman" w:hAnsi="Times New Roman" w:cs="Times New Roman"/>
          <w:b/>
          <w:sz w:val="32"/>
          <w:szCs w:val="32"/>
        </w:rPr>
      </w:pPr>
      <w:r>
        <w:rPr>
          <w:rFonts w:ascii="Times New Roman" w:eastAsia="Times New Roman" w:hAnsi="Times New Roman" w:cs="Times New Roman"/>
          <w:b/>
          <w:sz w:val="32"/>
          <w:szCs w:val="32"/>
        </w:rPr>
        <w:t>Supplementary material</w:t>
      </w:r>
    </w:p>
    <w:p w14:paraId="67E19257" w14:textId="77777777" w:rsidR="00321B55" w:rsidRDefault="00000000">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Videos of the Tasks are Available at:</w:t>
      </w:r>
      <w:r>
        <w:t xml:space="preserve"> </w:t>
      </w:r>
      <w:hyperlink r:id="rId6">
        <w:r w:rsidR="00321B55">
          <w:rPr>
            <w:rFonts w:ascii="Times New Roman" w:eastAsia="Times New Roman" w:hAnsi="Times New Roman" w:cs="Times New Roman"/>
            <w:i/>
            <w:color w:val="0000FF"/>
            <w:sz w:val="24"/>
            <w:szCs w:val="24"/>
            <w:u w:val="single"/>
          </w:rPr>
          <w:t>https://drive.google.com/drive/folders/1av9RX6ev2VfdAPAZrPR1WXc8PAzqGTkQ?usp=sharing</w:t>
        </w:r>
      </w:hyperlink>
    </w:p>
    <w:p w14:paraId="53B8033F" w14:textId="77777777" w:rsidR="00321B55" w:rsidRDefault="00321B55">
      <w:pPr>
        <w:rPr>
          <w:rFonts w:ascii="Times New Roman" w:eastAsia="Times New Roman" w:hAnsi="Times New Roman" w:cs="Times New Roman"/>
          <w:sz w:val="24"/>
          <w:szCs w:val="24"/>
        </w:rPr>
      </w:pPr>
    </w:p>
    <w:p w14:paraId="55617A73" w14:textId="64C8370A" w:rsidR="00321B5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Figures and text in the supplementary material document have been modified from Jayakumar </w:t>
      </w:r>
      <w:r w:rsidR="00857DFD">
        <w:rPr>
          <w:rFonts w:ascii="Times New Roman" w:eastAsia="Times New Roman" w:hAnsi="Times New Roman" w:cs="Times New Roman"/>
          <w:sz w:val="24"/>
          <w:szCs w:val="24"/>
        </w:rPr>
        <w:t>(</w:t>
      </w:r>
      <w:r>
        <w:rPr>
          <w:rFonts w:ascii="Times New Roman" w:eastAsia="Times New Roman" w:hAnsi="Times New Roman" w:cs="Times New Roman"/>
          <w:sz w:val="24"/>
          <w:szCs w:val="24"/>
        </w:rPr>
        <w:t>2024</w:t>
      </w:r>
      <w:r w:rsidR="00857DFD">
        <w:rPr>
          <w:rFonts w:ascii="Times New Roman" w:eastAsia="Times New Roman" w:hAnsi="Times New Roman" w:cs="Times New Roman"/>
          <w:sz w:val="24"/>
          <w:szCs w:val="24"/>
        </w:rPr>
        <w:t>)</w:t>
      </w:r>
      <w:hyperlink r:id="rId7">
        <w:r w:rsidR="00321B55">
          <w:rPr>
            <w:rFonts w:ascii="Times New Roman" w:eastAsia="Times New Roman" w:hAnsi="Times New Roman" w:cs="Times New Roman"/>
            <w:color w:val="000000"/>
            <w:sz w:val="24"/>
            <w:szCs w:val="24"/>
            <w:vertAlign w:val="superscript"/>
          </w:rPr>
          <w:t>1</w:t>
        </w:r>
      </w:hyperlink>
      <w:r>
        <w:rPr>
          <w:rFonts w:ascii="Times New Roman" w:eastAsia="Times New Roman" w:hAnsi="Times New Roman" w:cs="Times New Roman"/>
          <w:sz w:val="24"/>
          <w:szCs w:val="24"/>
        </w:rPr>
        <w:t>.</w:t>
      </w:r>
    </w:p>
    <w:p w14:paraId="4CB8617B" w14:textId="77777777" w:rsidR="00D967D9" w:rsidRPr="00D967D9" w:rsidRDefault="00D967D9" w:rsidP="00D967D9">
      <w:pPr>
        <w:rPr>
          <w:rFonts w:ascii="Times New Roman" w:eastAsia="Times New Roman" w:hAnsi="Times New Roman" w:cs="Times New Roman"/>
          <w:b/>
          <w:bCs/>
          <w:iCs/>
          <w:sz w:val="28"/>
          <w:szCs w:val="28"/>
        </w:rPr>
      </w:pPr>
    </w:p>
    <w:p w14:paraId="7A24E3F3" w14:textId="77777777" w:rsidR="0067593E" w:rsidRDefault="0067593E" w:rsidP="0067593E">
      <w:pP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PROTOCOL</w:t>
      </w:r>
      <w:r w:rsidRPr="00D967D9">
        <w:rPr>
          <w:rFonts w:ascii="Times New Roman" w:eastAsia="Times New Roman" w:hAnsi="Times New Roman" w:cs="Times New Roman"/>
          <w:b/>
          <w:bCs/>
          <w:iCs/>
          <w:sz w:val="28"/>
          <w:szCs w:val="28"/>
        </w:rPr>
        <w:t>:</w:t>
      </w:r>
    </w:p>
    <w:p w14:paraId="1574C2A3" w14:textId="7F2197BB" w:rsidR="00A0288F" w:rsidRPr="00A0288F" w:rsidRDefault="00A0288F" w:rsidP="00A0288F">
      <w:pPr>
        <w:spacing w:before="240" w:after="240"/>
        <w:jc w:val="both"/>
        <w:rPr>
          <w:rFonts w:ascii="Times New Roman" w:eastAsia="Times New Roman" w:hAnsi="Times New Roman" w:cs="Times New Roman"/>
          <w:b/>
          <w:sz w:val="28"/>
          <w:szCs w:val="28"/>
        </w:rPr>
      </w:pPr>
      <w:r w:rsidRPr="00A0288F">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 xml:space="preserve"> </w:t>
      </w:r>
      <w:r w:rsidRPr="00A0288F">
        <w:rPr>
          <w:rFonts w:ascii="Times New Roman" w:eastAsia="Times New Roman" w:hAnsi="Times New Roman" w:cs="Times New Roman"/>
          <w:b/>
          <w:sz w:val="28"/>
          <w:szCs w:val="28"/>
        </w:rPr>
        <w:t>Asessment Tasks</w:t>
      </w:r>
    </w:p>
    <w:p w14:paraId="5B950F43" w14:textId="77777777" w:rsidR="00A0288F" w:rsidRDefault="00A0288F" w:rsidP="00A0288F">
      <w:pPr>
        <w:rPr>
          <w:rFonts w:ascii="Times New Roman" w:eastAsia="Times New Roman" w:hAnsi="Times New Roman" w:cs="Times New Roman"/>
          <w:b/>
          <w:bCs/>
          <w:iCs/>
          <w:sz w:val="24"/>
          <w:szCs w:val="24"/>
        </w:rPr>
      </w:pPr>
    </w:p>
    <w:p w14:paraId="080B917A" w14:textId="7D5169BC" w:rsidR="00A0288F" w:rsidRPr="00FC7C97" w:rsidRDefault="00A0288F" w:rsidP="00A0288F">
      <w:pPr>
        <w:rPr>
          <w:rFonts w:ascii="Times New Roman" w:eastAsia="Times New Roman" w:hAnsi="Times New Roman" w:cs="Times New Roman"/>
          <w:b/>
          <w:bCs/>
          <w:iCs/>
          <w:sz w:val="24"/>
          <w:szCs w:val="24"/>
        </w:rPr>
      </w:pPr>
      <w:r w:rsidRPr="00FC7C97">
        <w:rPr>
          <w:rFonts w:ascii="Times New Roman" w:eastAsia="Times New Roman" w:hAnsi="Times New Roman" w:cs="Times New Roman"/>
          <w:b/>
          <w:bCs/>
          <w:iCs/>
          <w:sz w:val="24"/>
          <w:szCs w:val="24"/>
        </w:rPr>
        <w:t>1.</w:t>
      </w:r>
      <w:r>
        <w:rPr>
          <w:rFonts w:ascii="Times New Roman" w:eastAsia="Times New Roman" w:hAnsi="Times New Roman" w:cs="Times New Roman"/>
          <w:b/>
          <w:bCs/>
          <w:iCs/>
          <w:sz w:val="24"/>
          <w:szCs w:val="24"/>
        </w:rPr>
        <w:t>1</w:t>
      </w:r>
      <w:r w:rsidRPr="00FC7C97">
        <w:rPr>
          <w:rFonts w:ascii="Times New Roman" w:eastAsia="Times New Roman" w:hAnsi="Times New Roman" w:cs="Times New Roman"/>
          <w:b/>
          <w:bCs/>
          <w:iCs/>
          <w:sz w:val="24"/>
          <w:szCs w:val="24"/>
        </w:rPr>
        <w:t xml:space="preserve"> Placing eyes at the center before each trial begins</w:t>
      </w:r>
    </w:p>
    <w:p w14:paraId="3ED8B16A" w14:textId="630991C6" w:rsidR="00A0288F" w:rsidRDefault="00A0288F" w:rsidP="00A0288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Each trial commenced with a central fixation box, designed to be slightly larger than the simulated scotoma. Pa</w:t>
      </w:r>
      <w:r w:rsidR="00E4068F">
        <w:rPr>
          <w:rFonts w:ascii="Times New Roman" w:eastAsia="Times New Roman" w:hAnsi="Times New Roman" w:cs="Times New Roman"/>
          <w:sz w:val="24"/>
          <w:szCs w:val="24"/>
        </w:rPr>
        <w:t>rticipant</w:t>
      </w:r>
      <w:r>
        <w:rPr>
          <w:rFonts w:ascii="Times New Roman" w:eastAsia="Times New Roman" w:hAnsi="Times New Roman" w:cs="Times New Roman"/>
          <w:sz w:val="24"/>
          <w:szCs w:val="24"/>
        </w:rPr>
        <w:t xml:space="preserve">s were instructed to place the scotoma within this box and maintain it for 750 ms inter-trial interval (ITI) to allow the beginning of the trial. </w:t>
      </w:r>
    </w:p>
    <w:p w14:paraId="2ECD5A28" w14:textId="77777777" w:rsidR="00A0288F" w:rsidRDefault="00A0288F" w:rsidP="00A0288F">
      <w:pPr>
        <w:jc w:val="both"/>
        <w:rPr>
          <w:rFonts w:ascii="Times New Roman" w:eastAsia="Times New Roman" w:hAnsi="Times New Roman" w:cs="Times New Roman"/>
          <w:b/>
          <w:bCs/>
          <w:sz w:val="24"/>
          <w:szCs w:val="24"/>
        </w:rPr>
      </w:pPr>
    </w:p>
    <w:p w14:paraId="30BD761B" w14:textId="18E8A5EC" w:rsidR="00A0288F" w:rsidRPr="00FC7C97" w:rsidRDefault="00A0288F" w:rsidP="00A0288F">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w:t>
      </w:r>
      <w:r w:rsidRPr="00FC7C97">
        <w:rPr>
          <w:rFonts w:ascii="Times New Roman" w:eastAsia="Times New Roman" w:hAnsi="Times New Roman" w:cs="Times New Roman"/>
          <w:b/>
          <w:bCs/>
          <w:sz w:val="24"/>
          <w:szCs w:val="24"/>
        </w:rPr>
        <w:t xml:space="preserve"> Present</w:t>
      </w:r>
      <w:r>
        <w:rPr>
          <w:rFonts w:ascii="Times New Roman" w:eastAsia="Times New Roman" w:hAnsi="Times New Roman" w:cs="Times New Roman"/>
          <w:b/>
          <w:bCs/>
          <w:sz w:val="24"/>
          <w:szCs w:val="24"/>
        </w:rPr>
        <w:t>ation of</w:t>
      </w:r>
      <w:r w:rsidRPr="00FC7C97">
        <w:rPr>
          <w:rFonts w:ascii="Times New Roman" w:eastAsia="Times New Roman" w:hAnsi="Times New Roman" w:cs="Times New Roman"/>
          <w:b/>
          <w:bCs/>
          <w:sz w:val="24"/>
          <w:szCs w:val="24"/>
        </w:rPr>
        <w:t xml:space="preserve"> a visual cue</w:t>
      </w:r>
      <w:r>
        <w:rPr>
          <w:rFonts w:ascii="Times New Roman" w:eastAsia="Times New Roman" w:hAnsi="Times New Roman" w:cs="Times New Roman"/>
          <w:b/>
          <w:bCs/>
          <w:sz w:val="24"/>
          <w:szCs w:val="24"/>
        </w:rPr>
        <w:t xml:space="preserve"> while participant is keeping their fixation at the center</w:t>
      </w:r>
    </w:p>
    <w:p w14:paraId="6F68AA65" w14:textId="05E6E68C" w:rsidR="00A0288F" w:rsidRDefault="00685490" w:rsidP="00A0288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Except for the MNRead and trail making tasks, for other assessment tasks a</w:t>
      </w:r>
      <w:r w:rsidR="00A0288F">
        <w:rPr>
          <w:rFonts w:ascii="Times New Roman" w:eastAsia="Times New Roman" w:hAnsi="Times New Roman" w:cs="Times New Roman"/>
          <w:sz w:val="24"/>
          <w:szCs w:val="24"/>
        </w:rPr>
        <w:t xml:space="preserve"> 750 ms inter-trial interval preceded a 500 ms fixation period, during which participants were presented with a visual cue (a white dot) signaling the location of the imminent appearance of the target. Successful fixation for 500 ms was required for the target to be displayed. If the participant's scotoma deviated outside the fixation box, the fixation timer reset until stable fixation was achieved. This protocol ensured that participants maintained a central fixation to optimize target presentation in the intended location. </w:t>
      </w:r>
    </w:p>
    <w:p w14:paraId="7233247B" w14:textId="77777777" w:rsidR="00A0288F" w:rsidRDefault="00A0288F" w:rsidP="00A0288F">
      <w:pPr>
        <w:jc w:val="both"/>
        <w:rPr>
          <w:rFonts w:ascii="Times New Roman" w:eastAsia="Times New Roman" w:hAnsi="Times New Roman" w:cs="Times New Roman"/>
          <w:b/>
          <w:bCs/>
          <w:sz w:val="24"/>
          <w:szCs w:val="24"/>
        </w:rPr>
      </w:pPr>
    </w:p>
    <w:p w14:paraId="5BC95D17" w14:textId="4F3DE026" w:rsidR="00D967D9" w:rsidRPr="00A0288F" w:rsidRDefault="00A0288F" w:rsidP="00A0288F">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r w:rsidRPr="00FC7C97">
        <w:rPr>
          <w:rFonts w:ascii="Times New Roman" w:eastAsia="Times New Roman" w:hAnsi="Times New Roman" w:cs="Times New Roman"/>
          <w:b/>
          <w:bCs/>
          <w:sz w:val="24"/>
          <w:szCs w:val="24"/>
        </w:rPr>
        <w:t>3</w:t>
      </w:r>
      <w:r>
        <w:rPr>
          <w:rFonts w:ascii="Times New Roman" w:eastAsia="Times New Roman" w:hAnsi="Times New Roman" w:cs="Times New Roman"/>
          <w:b/>
          <w:bCs/>
          <w:sz w:val="24"/>
          <w:szCs w:val="24"/>
        </w:rPr>
        <w:t xml:space="preserve"> </w:t>
      </w:r>
      <w:r w:rsidRPr="00FC7C97">
        <w:rPr>
          <w:rFonts w:ascii="Times New Roman" w:eastAsia="Times New Roman" w:hAnsi="Times New Roman" w:cs="Times New Roman"/>
          <w:b/>
          <w:bCs/>
          <w:sz w:val="24"/>
          <w:szCs w:val="24"/>
        </w:rPr>
        <w:t>Presentation of the target</w:t>
      </w:r>
    </w:p>
    <w:p w14:paraId="032A1C02" w14:textId="6D0A763D" w:rsidR="00963538" w:rsidRPr="00A0288F" w:rsidRDefault="00000000" w:rsidP="00685490">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Visual Acuity and Contrast Sensitivity</w:t>
      </w:r>
    </w:p>
    <w:p w14:paraId="37887CBB" w14:textId="2DBE936A" w:rsidR="00AF2B34" w:rsidRDefault="00000000" w:rsidP="0068549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These tasks are designed to measure fundamental abilities of the visual system, such as resolving fine details (visual acuity, VA) and discriminating between levels of luminance (contrast sensitivity, CS). These tasks are typically employed to measure low-level visual processing. In our framework, visual performance was measured in the trained retinal location (TRL) or in an equally eccentric, untrained location used as a control condition for learning and generalization effects. In both tasks, participants were presented with Landolt-C stimuli rotated along one of the four cardinal axes and asked to correctly identify its orientation (i.e., whether the gap in the C was left, right, up, or down. The stimulus size (in the case of the VA measurement) and the contrast (in the case of the CS measurement) varied according to an adaptive procedure (Figure S1). </w:t>
      </w:r>
    </w:p>
    <w:p w14:paraId="4AD0B1A7" w14:textId="4DE01980" w:rsidR="00FC7C97" w:rsidRDefault="00000000" w:rsidP="0068549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Once fixation was acquired, the target appeared for 200 ms. In the VA task, the luminance of the C was fixed at 100% and the initial size was 1°.  In the CS task, the size of the C was fixed at 1° and the initial contrast was 35%. A 2-stage staircase controlled the size and contrast of the C in the VA and CS tasks, respectively. </w:t>
      </w:r>
      <w:r w:rsidR="00685490">
        <w:rPr>
          <w:rFonts w:ascii="Times New Roman" w:eastAsia="Times New Roman" w:hAnsi="Times New Roman" w:cs="Times New Roman"/>
          <w:sz w:val="24"/>
          <w:szCs w:val="24"/>
        </w:rPr>
        <w:t xml:space="preserve">One session consisted of 120 trials, evenly distributed between two spatial locations, with 60 trials targeting the region to the left of central fixation and 60 trials targeting the region to the right. </w:t>
      </w:r>
    </w:p>
    <w:p w14:paraId="6E63ADB2" w14:textId="77777777" w:rsidR="00A0288F" w:rsidRDefault="00A0288F" w:rsidP="00A0288F">
      <w:pPr>
        <w:spacing w:before="240" w:after="24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2F7DA574" wp14:editId="4F5D9241">
            <wp:extent cx="5943600" cy="1473200"/>
            <wp:effectExtent l="0" t="0" r="0" b="0"/>
            <wp:docPr id="1" name="image6.png" descr="A diagram of a diagram&#10;&#10;AI-generated content may be incorrect."/>
            <wp:cNvGraphicFramePr/>
            <a:graphic xmlns:a="http://schemas.openxmlformats.org/drawingml/2006/main">
              <a:graphicData uri="http://schemas.openxmlformats.org/drawingml/2006/picture">
                <pic:pic xmlns:pic="http://schemas.openxmlformats.org/drawingml/2006/picture">
                  <pic:nvPicPr>
                    <pic:cNvPr id="1" name="image6.png" descr="A diagram of a diagram&#10;&#10;AI-generated content may be incorrect."/>
                    <pic:cNvPicPr preferRelativeResize="0"/>
                  </pic:nvPicPr>
                  <pic:blipFill>
                    <a:blip r:embed="rId8"/>
                    <a:srcRect/>
                    <a:stretch>
                      <a:fillRect/>
                    </a:stretch>
                  </pic:blipFill>
                  <pic:spPr>
                    <a:xfrm>
                      <a:off x="0" y="0"/>
                      <a:ext cx="5943600" cy="1473200"/>
                    </a:xfrm>
                    <a:prstGeom prst="rect">
                      <a:avLst/>
                    </a:prstGeom>
                    <a:ln/>
                  </pic:spPr>
                </pic:pic>
              </a:graphicData>
            </a:graphic>
          </wp:inline>
        </w:drawing>
      </w:r>
    </w:p>
    <w:p w14:paraId="1ACA661C" w14:textId="2F252369" w:rsidR="00685490" w:rsidRPr="00685490" w:rsidRDefault="00A0288F" w:rsidP="00685490">
      <w:pPr>
        <w:spacing w:before="240" w:after="240"/>
        <w:jc w:val="both"/>
        <w:rPr>
          <w:rFonts w:ascii="Times New Roman" w:eastAsia="Times New Roman" w:hAnsi="Times New Roman" w:cs="Times New Roman"/>
        </w:rPr>
      </w:pPr>
      <w:r>
        <w:rPr>
          <w:rFonts w:ascii="Times New Roman" w:eastAsia="Times New Roman" w:hAnsi="Times New Roman" w:cs="Times New Roman"/>
          <w:b/>
        </w:rPr>
        <w:lastRenderedPageBreak/>
        <w:t>Figure S1. Visual Acuity and Contrast Sensitivity Task:</w:t>
      </w:r>
      <w:r>
        <w:rPr>
          <w:rFonts w:ascii="Times New Roman" w:eastAsia="Times New Roman" w:hAnsi="Times New Roman" w:cs="Times New Roman"/>
        </w:rPr>
        <w:t xml:space="preserve"> Sequence of events in a given trial. Participants responded to the orientation of the C using the keys on the response box. In the figure, the correct response to the target is right, as this is the location of the gap in the C. Auditory feedback is provided to indicate the accuracy of the response.  </w:t>
      </w:r>
    </w:p>
    <w:p w14:paraId="100FDDA5" w14:textId="54B765D4" w:rsidR="00A0288F" w:rsidRDefault="00A0288F" w:rsidP="0068549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Contour Integration</w:t>
      </w:r>
    </w:p>
    <w:p w14:paraId="4BB6CD0C" w14:textId="77777777" w:rsidR="00A0288F" w:rsidRDefault="00A0288F" w:rsidP="00685490">
      <w:pPr>
        <w:jc w:val="both"/>
      </w:pPr>
      <w:r>
        <w:rPr>
          <w:rFonts w:ascii="Times New Roman" w:eastAsia="Times New Roman" w:hAnsi="Times New Roman" w:cs="Times New Roman"/>
          <w:sz w:val="24"/>
          <w:szCs w:val="24"/>
        </w:rPr>
        <w:t>Contour integration (CI), the ability to combine local elements into a perceptual shape is considered to involve mid-level visual processing i.e., binding multiple low-level features</w:t>
      </w:r>
      <w:hyperlink r:id="rId9">
        <w:r>
          <w:rPr>
            <w:rFonts w:ascii="Times New Roman" w:eastAsia="Times New Roman" w:hAnsi="Times New Roman" w:cs="Times New Roman"/>
            <w:color w:val="000000"/>
            <w:sz w:val="24"/>
            <w:szCs w:val="24"/>
            <w:vertAlign w:val="superscript"/>
          </w:rPr>
          <w:t>2,3</w:t>
        </w:r>
      </w:hyperlink>
      <w:r>
        <w:rPr>
          <w:rFonts w:ascii="Times New Roman" w:eastAsia="Times New Roman" w:hAnsi="Times New Roman" w:cs="Times New Roman"/>
          <w:sz w:val="24"/>
          <w:szCs w:val="24"/>
        </w:rPr>
        <w:t xml:space="preserve">. This task shared the same structure as the VA and CA tasks but used contours of different shapes as stimuli. </w:t>
      </w:r>
    </w:p>
    <w:p w14:paraId="16094B4F" w14:textId="77777777" w:rsidR="00A0288F" w:rsidRDefault="00A0288F" w:rsidP="00A0288F">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stimuli for the CI task consisted of alphanumeric characters ("d" and "p") and egg-shaped contours. The target stimulus was a 15×15 grid composed of Gabor elements, each 0.1° in size and with a spatial frequency of 3 cycles per degree (Figure S2). The task structure comprised 4 blocks organized by stimulus location (left or right of fixation) and shape (eggs or "p/d"), with participants completing 60 trials per block, for a total of 240 trials. Task difficulty was modulated by an adaptive staircase procedure that adjusted the orientation jitter of individual Gabor elements constituting the shapes, with low jitter making the shape easier and high jitter making it more difficult to recognize. </w:t>
      </w:r>
    </w:p>
    <w:p w14:paraId="7D9AD190" w14:textId="77777777" w:rsidR="00A0288F" w:rsidRDefault="00A0288F" w:rsidP="00A0288F">
      <w:pPr>
        <w:ind w:firstLine="720"/>
        <w:jc w:val="both"/>
        <w:rPr>
          <w:rFonts w:ascii="Times New Roman" w:eastAsia="Times New Roman" w:hAnsi="Times New Roman" w:cs="Times New Roman"/>
          <w:sz w:val="24"/>
          <w:szCs w:val="24"/>
        </w:rPr>
      </w:pPr>
      <w:r w:rsidRPr="0067593E">
        <w:rPr>
          <w:rFonts w:ascii="Times New Roman" w:eastAsia="Times New Roman" w:hAnsi="Times New Roman" w:cs="Times New Roman"/>
          <w:iCs/>
          <w:sz w:val="24"/>
          <w:szCs w:val="24"/>
        </w:rPr>
        <w:t>M</w:t>
      </w:r>
      <w:r>
        <w:rPr>
          <w:rFonts w:ascii="Times New Roman" w:eastAsia="Times New Roman" w:hAnsi="Times New Roman" w:cs="Times New Roman"/>
          <w:sz w:val="24"/>
          <w:szCs w:val="24"/>
        </w:rPr>
        <w:t xml:space="preserve">ain task used a modified two-stage staircase protocol was adopted. The first stage utilized a progressive staircase, increasing orientation jitter levels (0°, 1°, 2°, 4°, 6°, 8°, 10°, and 12°) every three trials across 24 trials and the second stage used a conventional 3-down/1-up adaptive staircase procedure until the completion of 60 trials. </w:t>
      </w:r>
    </w:p>
    <w:p w14:paraId="37668689" w14:textId="77777777" w:rsidR="00A0288F" w:rsidRDefault="00A0288F" w:rsidP="00A0288F">
      <w:pPr>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14D86831" wp14:editId="70C77BC5">
            <wp:extent cx="5943600" cy="1444752"/>
            <wp:effectExtent l="0" t="0" r="0" b="0"/>
            <wp:docPr id="1133887761" name="image12.png" descr="A group of images of a cross&#10;&#10;AI-generated content may be incorrect."/>
            <wp:cNvGraphicFramePr/>
            <a:graphic xmlns:a="http://schemas.openxmlformats.org/drawingml/2006/main">
              <a:graphicData uri="http://schemas.openxmlformats.org/drawingml/2006/picture">
                <pic:pic xmlns:pic="http://schemas.openxmlformats.org/drawingml/2006/picture">
                  <pic:nvPicPr>
                    <pic:cNvPr id="1133887761" name="image12.png" descr="A group of images of a cross&#10;&#10;AI-generated content may be incorrect."/>
                    <pic:cNvPicPr preferRelativeResize="0"/>
                  </pic:nvPicPr>
                  <pic:blipFill>
                    <a:blip r:embed="rId10"/>
                    <a:srcRect/>
                    <a:stretch>
                      <a:fillRect/>
                    </a:stretch>
                  </pic:blipFill>
                  <pic:spPr>
                    <a:xfrm>
                      <a:off x="0" y="0"/>
                      <a:ext cx="5943600" cy="1444752"/>
                    </a:xfrm>
                    <a:prstGeom prst="rect">
                      <a:avLst/>
                    </a:prstGeom>
                    <a:ln/>
                  </pic:spPr>
                </pic:pic>
              </a:graphicData>
            </a:graphic>
          </wp:inline>
        </w:drawing>
      </w:r>
    </w:p>
    <w:p w14:paraId="73440DF5" w14:textId="77777777" w:rsidR="00A0288F" w:rsidRDefault="00A0288F" w:rsidP="00A0288F">
      <w:pPr>
        <w:spacing w:before="200"/>
        <w:jc w:val="both"/>
        <w:rPr>
          <w:rFonts w:ascii="Times New Roman" w:eastAsia="Times New Roman" w:hAnsi="Times New Roman" w:cs="Times New Roman"/>
        </w:rPr>
      </w:pPr>
      <w:r>
        <w:rPr>
          <w:rFonts w:ascii="Times New Roman" w:eastAsia="Times New Roman" w:hAnsi="Times New Roman" w:cs="Times New Roman"/>
          <w:b/>
        </w:rPr>
        <w:t>Figure S2. Contour Integration Task:</w:t>
      </w:r>
      <w:r>
        <w:rPr>
          <w:rFonts w:ascii="Times New Roman" w:eastAsia="Times New Roman" w:hAnsi="Times New Roman" w:cs="Times New Roman"/>
        </w:rPr>
        <w:t xml:space="preserve"> Participants are presented with contour shape pairs (p/d and eggs) and are required to respond to the correct shape that appeared. For example, participants press the left button if a “d” is presented and the right button if a “p” is presented. Trial-by-trial auditory feedback is provided to indicate accuracy.</w:t>
      </w:r>
    </w:p>
    <w:p w14:paraId="0AD280B8" w14:textId="77777777" w:rsidR="00A0288F" w:rsidRDefault="00A0288F" w:rsidP="00A0288F">
      <w:pPr>
        <w:jc w:val="both"/>
        <w:rPr>
          <w:rFonts w:ascii="Times New Roman" w:eastAsia="Times New Roman" w:hAnsi="Times New Roman" w:cs="Times New Roman"/>
          <w:i/>
          <w:sz w:val="24"/>
          <w:szCs w:val="24"/>
        </w:rPr>
      </w:pPr>
    </w:p>
    <w:p w14:paraId="4297039B" w14:textId="355B4E2A" w:rsidR="00A0288F" w:rsidRDefault="00A0288F" w:rsidP="0068549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Crowding</w:t>
      </w:r>
    </w:p>
    <w:p w14:paraId="3672175E" w14:textId="77777777" w:rsidR="00A0288F" w:rsidRDefault="00A0288F" w:rsidP="0068549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Crowding, the difficulty in identifying a target when presented among flanking elements, represents another fundamental property of the periphery of the visual field. It also serves as a complement to the contour integration task by assessing the ability to suppress the integration of irrelevant background features. This task was developed using a procedure recently validated in patients with macular degeneration (MD)</w:t>
      </w:r>
      <w:hyperlink r:id="rId11">
        <w:r>
          <w:rPr>
            <w:rFonts w:ascii="Times New Roman" w:eastAsia="Times New Roman" w:hAnsi="Times New Roman" w:cs="Times New Roman"/>
            <w:color w:val="000000"/>
            <w:sz w:val="24"/>
            <w:szCs w:val="24"/>
            <w:vertAlign w:val="superscript"/>
          </w:rPr>
          <w:t>5</w:t>
        </w:r>
      </w:hyperlink>
      <w:r>
        <w:rPr>
          <w:rFonts w:ascii="Times New Roman" w:eastAsia="Times New Roman" w:hAnsi="Times New Roman" w:cs="Times New Roman"/>
          <w:sz w:val="24"/>
          <w:szCs w:val="24"/>
        </w:rPr>
        <w:t xml:space="preserve">. The stimulus consisted of a Landolt C flanked by O’s </w:t>
      </w:r>
      <w:r>
        <w:rPr>
          <w:rFonts w:ascii="Times New Roman" w:eastAsia="Times New Roman" w:hAnsi="Times New Roman" w:cs="Times New Roman"/>
          <w:sz w:val="24"/>
          <w:szCs w:val="24"/>
        </w:rPr>
        <w:lastRenderedPageBreak/>
        <w:t>on either side. A key characteristic of visual crowding is its radial-tangential asymmetry, wherein crowding effects are significantly more pronounced for items arranged radially (horizontally) relative to fixation compared to tangentially (vertically) arranged items</w:t>
      </w:r>
      <w:hyperlink r:id="rId12">
        <w:r>
          <w:rPr>
            <w:rFonts w:ascii="Times New Roman" w:eastAsia="Times New Roman" w:hAnsi="Times New Roman" w:cs="Times New Roman"/>
            <w:color w:val="000000"/>
            <w:sz w:val="24"/>
            <w:szCs w:val="24"/>
            <w:vertAlign w:val="superscript"/>
          </w:rPr>
          <w:t>6,7</w:t>
        </w:r>
      </w:hyperlink>
      <w:r>
        <w:rPr>
          <w:rFonts w:ascii="Times New Roman" w:eastAsia="Times New Roman" w:hAnsi="Times New Roman" w:cs="Times New Roman"/>
          <w:sz w:val="24"/>
          <w:szCs w:val="24"/>
        </w:rPr>
        <w:t>. To account for this, crowding was measured along both orientations (Figure S3).</w:t>
      </w:r>
    </w:p>
    <w:p w14:paraId="51F7449E" w14:textId="77777777" w:rsidR="00A0288F" w:rsidRDefault="00A0288F" w:rsidP="00A0288F">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spacing between the C and the flanking O’s was adjusted using a two-stage adaptive staircase procedure, with separate staircases for radial and tangential target orientations. The C subtended 0.8° of visual angle, and the task was divided into four blocks: two spatial locations (left and right) crossed with two orientations (radial and tangential). Each block comprised 60 trials, resulting in a total of 240 trials. Auditory feedback was provided to inform participants of response accuracy.</w:t>
      </w:r>
    </w:p>
    <w:p w14:paraId="16104894" w14:textId="77777777" w:rsidR="00A0288F" w:rsidRDefault="00A0288F" w:rsidP="00A0288F">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ensure that the radial flankers were not occluded by the scotoma, a smaller size scotoma of 6° was employed. As with the other tasks, participants were presented with visual instructions and completed practice trials specific to each spatial location and orientation before commencing the main task. The practice ensured familiarity with the procedure and allowed participants to proceed to the full task upon readiness.</w:t>
      </w:r>
    </w:p>
    <w:p w14:paraId="09BD0DD1" w14:textId="77777777" w:rsidR="00A0288F" w:rsidRDefault="00A0288F" w:rsidP="00A0288F">
      <w:pPr>
        <w:spacing w:before="20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6D1CCFE2" wp14:editId="74E9F2A9">
            <wp:extent cx="5943600" cy="2413000"/>
            <wp:effectExtent l="0" t="0" r="0" b="0"/>
            <wp:docPr id="2" name="image1.png" descr="A diagram of a diagram of a diagram&#10;&#10;AI-generated content may be incorrect."/>
            <wp:cNvGraphicFramePr/>
            <a:graphic xmlns:a="http://schemas.openxmlformats.org/drawingml/2006/main">
              <a:graphicData uri="http://schemas.openxmlformats.org/drawingml/2006/picture">
                <pic:pic xmlns:pic="http://schemas.openxmlformats.org/drawingml/2006/picture">
                  <pic:nvPicPr>
                    <pic:cNvPr id="2" name="image1.png" descr="A diagram of a diagram of a diagram&#10;&#10;AI-generated content may be incorrect."/>
                    <pic:cNvPicPr preferRelativeResize="0"/>
                  </pic:nvPicPr>
                  <pic:blipFill>
                    <a:blip r:embed="rId13"/>
                    <a:srcRect/>
                    <a:stretch>
                      <a:fillRect/>
                    </a:stretch>
                  </pic:blipFill>
                  <pic:spPr>
                    <a:xfrm>
                      <a:off x="0" y="0"/>
                      <a:ext cx="5943600" cy="2413000"/>
                    </a:xfrm>
                    <a:prstGeom prst="rect">
                      <a:avLst/>
                    </a:prstGeom>
                    <a:ln/>
                  </pic:spPr>
                </pic:pic>
              </a:graphicData>
            </a:graphic>
          </wp:inline>
        </w:drawing>
      </w:r>
    </w:p>
    <w:p w14:paraId="34C7B94F" w14:textId="77777777" w:rsidR="00A0288F" w:rsidRDefault="00A0288F" w:rsidP="00A0288F">
      <w:pPr>
        <w:spacing w:before="200"/>
        <w:jc w:val="both"/>
        <w:rPr>
          <w:rFonts w:ascii="Times New Roman" w:eastAsia="Times New Roman" w:hAnsi="Times New Roman" w:cs="Times New Roman"/>
        </w:rPr>
      </w:pPr>
      <w:r>
        <w:rPr>
          <w:rFonts w:ascii="Times New Roman" w:eastAsia="Times New Roman" w:hAnsi="Times New Roman" w:cs="Times New Roman"/>
          <w:b/>
        </w:rPr>
        <w:t>Figure S3. Crowding Task:</w:t>
      </w:r>
      <w:r>
        <w:rPr>
          <w:rFonts w:ascii="Times New Roman" w:eastAsia="Times New Roman" w:hAnsi="Times New Roman" w:cs="Times New Roman"/>
        </w:rPr>
        <w:t xml:space="preserve"> Participants were presented with targets consisting of a letter C flanked by two O's, oriented either radially (top panel) or tangentially (bottom panel). After meeting the fixation requirement, they identified the orientation of the C using response box keys—for example, pressing the right button in the radial example (above, in the stimulus duration section) or the up button in the tangential example (below).</w:t>
      </w:r>
    </w:p>
    <w:p w14:paraId="35110239" w14:textId="77777777" w:rsidR="00A0288F" w:rsidRDefault="00A0288F" w:rsidP="00A0288F">
      <w:pPr>
        <w:jc w:val="both"/>
        <w:rPr>
          <w:rFonts w:ascii="Times New Roman" w:eastAsia="Times New Roman" w:hAnsi="Times New Roman" w:cs="Times New Roman"/>
          <w:i/>
          <w:sz w:val="24"/>
          <w:szCs w:val="24"/>
        </w:rPr>
      </w:pPr>
    </w:p>
    <w:p w14:paraId="2BB16AB8" w14:textId="0A493208" w:rsidR="00A0288F" w:rsidRDefault="00A0288F" w:rsidP="0068549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MNRead</w:t>
      </w:r>
    </w:p>
    <w:p w14:paraId="5057D79B" w14:textId="77777777" w:rsidR="00A0288F" w:rsidRDefault="00A0288F" w:rsidP="0068549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Minnesota Reading task (MNRead) is a standardized task employed in vision science as a test of reading skills</w:t>
      </w:r>
      <w:hyperlink r:id="rId14">
        <w:r>
          <w:rPr>
            <w:rFonts w:ascii="Times New Roman" w:eastAsia="Times New Roman" w:hAnsi="Times New Roman" w:cs="Times New Roman"/>
            <w:color w:val="000000"/>
            <w:sz w:val="24"/>
            <w:szCs w:val="24"/>
            <w:vertAlign w:val="superscript"/>
          </w:rPr>
          <w:t>8</w:t>
        </w:r>
      </w:hyperlink>
      <w:r>
        <w:rPr>
          <w:rFonts w:ascii="Times New Roman" w:eastAsia="Times New Roman" w:hAnsi="Times New Roman" w:cs="Times New Roman"/>
          <w:sz w:val="24"/>
          <w:szCs w:val="24"/>
        </w:rPr>
        <w:t xml:space="preserve">. We implemented a computer version of this task to be performed under simulated central vision loss. In each trial, participants were presented with a sentence (made up of 7-10 words) on a computer screen and asked to read it out loud. The font size decreased with consecutive trials until the font was too small for the participants to successfully read the text </w:t>
      </w:r>
      <w:r>
        <w:rPr>
          <w:rFonts w:ascii="Times New Roman" w:eastAsia="Times New Roman" w:hAnsi="Times New Roman" w:cs="Times New Roman"/>
          <w:sz w:val="24"/>
          <w:szCs w:val="24"/>
        </w:rPr>
        <w:lastRenderedPageBreak/>
        <w:t xml:space="preserve">(Figure S4). MNRead allows to extract different indices of performance, including acuity, reading speed, critical print size, and accuracy. </w:t>
      </w:r>
    </w:p>
    <w:p w14:paraId="54F72914" w14:textId="77777777" w:rsidR="00A0288F" w:rsidRDefault="00A0288F" w:rsidP="00A0288F">
      <w:pPr>
        <w:ind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10CA1E92" wp14:editId="32150CE9">
            <wp:extent cx="5943600" cy="1790700"/>
            <wp:effectExtent l="0" t="0" r="0" b="0"/>
            <wp:docPr id="5" name="image11.png" descr="A close-up of a diagram&#10;&#10;AI-generated content may be incorrect."/>
            <wp:cNvGraphicFramePr/>
            <a:graphic xmlns:a="http://schemas.openxmlformats.org/drawingml/2006/main">
              <a:graphicData uri="http://schemas.openxmlformats.org/drawingml/2006/picture">
                <pic:pic xmlns:pic="http://schemas.openxmlformats.org/drawingml/2006/picture">
                  <pic:nvPicPr>
                    <pic:cNvPr id="5" name="image11.png" descr="A close-up of a diagram&#10;&#10;AI-generated content may be incorrect."/>
                    <pic:cNvPicPr preferRelativeResize="0"/>
                  </pic:nvPicPr>
                  <pic:blipFill>
                    <a:blip r:embed="rId15"/>
                    <a:srcRect/>
                    <a:stretch>
                      <a:fillRect/>
                    </a:stretch>
                  </pic:blipFill>
                  <pic:spPr>
                    <a:xfrm>
                      <a:off x="0" y="0"/>
                      <a:ext cx="5943600" cy="1790700"/>
                    </a:xfrm>
                    <a:prstGeom prst="rect">
                      <a:avLst/>
                    </a:prstGeom>
                    <a:ln/>
                  </pic:spPr>
                </pic:pic>
              </a:graphicData>
            </a:graphic>
          </wp:inline>
        </w:drawing>
      </w:r>
    </w:p>
    <w:p w14:paraId="28EFC0F4" w14:textId="77777777" w:rsidR="00A0288F" w:rsidRDefault="00A0288F" w:rsidP="00A0288F">
      <w:pPr>
        <w:spacing w:before="200"/>
        <w:jc w:val="both"/>
        <w:rPr>
          <w:rFonts w:ascii="Times New Roman" w:eastAsia="Times New Roman" w:hAnsi="Times New Roman" w:cs="Times New Roman"/>
        </w:rPr>
      </w:pPr>
      <w:r>
        <w:rPr>
          <w:rFonts w:ascii="Times New Roman" w:eastAsia="Times New Roman" w:hAnsi="Times New Roman" w:cs="Times New Roman"/>
          <w:b/>
        </w:rPr>
        <w:t>Figure S4. MNRead Task:</w:t>
      </w:r>
      <w:r>
        <w:rPr>
          <w:rFonts w:ascii="Times New Roman" w:eastAsia="Times New Roman" w:hAnsi="Times New Roman" w:cs="Times New Roman"/>
        </w:rPr>
        <w:t xml:space="preserve"> Participants were presented with sentences in progressively smaller font sizes across consecutive trials. Participants are instructed to read each sentence aloud, with the experimenter assessing the accuracy of their responses. The task concluded when the font size became too small for accurate reading or when the participant exceeded the 90-second time limit for a trial.</w:t>
      </w:r>
    </w:p>
    <w:p w14:paraId="6F3B12C9" w14:textId="77777777" w:rsidR="00A0288F" w:rsidRDefault="00A0288F" w:rsidP="00FC7C97">
      <w:pPr>
        <w:jc w:val="both"/>
        <w:rPr>
          <w:rFonts w:ascii="Times New Roman" w:eastAsia="Times New Roman" w:hAnsi="Times New Roman" w:cs="Times New Roman"/>
          <w:b/>
          <w:bCs/>
          <w:sz w:val="24"/>
          <w:szCs w:val="24"/>
        </w:rPr>
      </w:pPr>
    </w:p>
    <w:p w14:paraId="24E2D445" w14:textId="77777777" w:rsidR="00A0288F" w:rsidRDefault="00A0288F" w:rsidP="00685490">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Fixation Assessment</w:t>
      </w:r>
    </w:p>
    <w:p w14:paraId="2CF62120" w14:textId="77777777" w:rsidR="00A0288F" w:rsidRDefault="00A0288F" w:rsidP="0068549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task was developed to assess oculomotor measures of training effects, in particular the ability of participants to functionally use their peripheral vision when interacting with visual stimuli. We used a series of oculomotor metrics we recently developed to assess different aspects of eye movement behavior in conditions of central vision loss</w:t>
      </w:r>
      <w:hyperlink r:id="rId16">
        <w:r>
          <w:rPr>
            <w:rFonts w:ascii="Times New Roman" w:eastAsia="Times New Roman" w:hAnsi="Times New Roman" w:cs="Times New Roman"/>
            <w:color w:val="000000"/>
            <w:sz w:val="24"/>
            <w:szCs w:val="24"/>
            <w:vertAlign w:val="superscript"/>
          </w:rPr>
          <w:t>9</w:t>
        </w:r>
      </w:hyperlink>
      <w:r>
        <w:rPr>
          <w:rFonts w:ascii="Times New Roman" w:eastAsia="Times New Roman" w:hAnsi="Times New Roman" w:cs="Times New Roman"/>
          <w:sz w:val="24"/>
          <w:szCs w:val="24"/>
        </w:rPr>
        <w:t xml:space="preserve">. We extracted these metrics while participants were engaged in a task that required them to make and hold an eye movement such that their PRL lands on a 2° target (O). The target appeared in 1 of 10 equally eccentric locations 15° from the center of the white fixation box (also the center of the scotoma) as illustrated in Figure S5. Once the participants made the eye movement towards the target and held the scotoma near it, the target would start flickering for 3-5 seconds (duration randomized across trials). Participants were required to maintain fixation until the flickering stopped. Auditory feedback was provided, to inform the participant that the trial was successfully completed, or that the trial timed out before the participant could successfully maintain fixation for the intended time interval. A new trial began by redirecting the scotoma to the white fixation box and satisfying the fixation condition (maintain fixation within the box for 500 ms) to trigger the appearance of a new target. </w:t>
      </w:r>
    </w:p>
    <w:p w14:paraId="79619C18" w14:textId="77777777" w:rsidR="00A0288F" w:rsidRDefault="00A0288F" w:rsidP="00A0288F">
      <w:pPr>
        <w:spacing w:before="20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114300" distB="114300" distL="114300" distR="114300" wp14:anchorId="24D6CEAE" wp14:editId="620EC518">
            <wp:extent cx="5943600" cy="3073400"/>
            <wp:effectExtent l="0" t="0" r="0" b="0"/>
            <wp:docPr id="4" name="image5.png" descr="A diagram of a target&#10;&#10;AI-generated content may be incorrect."/>
            <wp:cNvGraphicFramePr/>
            <a:graphic xmlns:a="http://schemas.openxmlformats.org/drawingml/2006/main">
              <a:graphicData uri="http://schemas.openxmlformats.org/drawingml/2006/picture">
                <pic:pic xmlns:pic="http://schemas.openxmlformats.org/drawingml/2006/picture">
                  <pic:nvPicPr>
                    <pic:cNvPr id="4" name="image5.png" descr="A diagram of a target&#10;&#10;AI-generated content may be incorrect."/>
                    <pic:cNvPicPr preferRelativeResize="0"/>
                  </pic:nvPicPr>
                  <pic:blipFill>
                    <a:blip r:embed="rId17"/>
                    <a:srcRect/>
                    <a:stretch>
                      <a:fillRect/>
                    </a:stretch>
                  </pic:blipFill>
                  <pic:spPr>
                    <a:xfrm>
                      <a:off x="0" y="0"/>
                      <a:ext cx="5943600" cy="3073400"/>
                    </a:xfrm>
                    <a:prstGeom prst="rect">
                      <a:avLst/>
                    </a:prstGeom>
                    <a:ln/>
                  </pic:spPr>
                </pic:pic>
              </a:graphicData>
            </a:graphic>
          </wp:inline>
        </w:drawing>
      </w:r>
    </w:p>
    <w:p w14:paraId="30AE2BE5" w14:textId="77777777" w:rsidR="00A0288F" w:rsidRDefault="00A0288F" w:rsidP="00A0288F">
      <w:pPr>
        <w:spacing w:before="200"/>
        <w:jc w:val="both"/>
        <w:rPr>
          <w:rFonts w:ascii="Times New Roman" w:eastAsia="Times New Roman" w:hAnsi="Times New Roman" w:cs="Times New Roman"/>
        </w:rPr>
      </w:pPr>
      <w:r>
        <w:rPr>
          <w:rFonts w:ascii="Times New Roman" w:eastAsia="Times New Roman" w:hAnsi="Times New Roman" w:cs="Times New Roman"/>
          <w:b/>
        </w:rPr>
        <w:t>Figure S5. Fixation Assessment Task:</w:t>
      </w:r>
      <w:r>
        <w:rPr>
          <w:rFonts w:ascii="Times New Roman" w:eastAsia="Times New Roman" w:hAnsi="Times New Roman" w:cs="Times New Roman"/>
        </w:rPr>
        <w:t xml:space="preserve"> Participants began each trial by maintaining fixation within a white box for 500 ms. Upon meeting this requirement, the fixation box disappeared, and a white "O" target appeared in one of eight possible locations (illustrated in the bottom panel). Participants were instructed to make an eye movement toward the target and align the scotoma near the target to initiate its flickering. If their gaze deviated from the target, the flickering ceased and resumed only when fixation near the target was re-established.</w:t>
      </w:r>
    </w:p>
    <w:p w14:paraId="560F8046" w14:textId="77777777" w:rsidR="00A0288F" w:rsidRDefault="00A0288F" w:rsidP="00FC7C97">
      <w:pPr>
        <w:jc w:val="both"/>
        <w:rPr>
          <w:rFonts w:ascii="Times New Roman" w:eastAsia="Times New Roman" w:hAnsi="Times New Roman" w:cs="Times New Roman"/>
          <w:b/>
          <w:bCs/>
          <w:sz w:val="24"/>
          <w:szCs w:val="24"/>
        </w:rPr>
      </w:pPr>
    </w:p>
    <w:p w14:paraId="50E24DD8" w14:textId="77777777" w:rsidR="00A0288F" w:rsidRDefault="00A0288F" w:rsidP="00A0288F">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Trail Making Task</w:t>
      </w:r>
    </w:p>
    <w:p w14:paraId="14D1356F" w14:textId="77777777" w:rsidR="00A0288F" w:rsidRDefault="00A0288F" w:rsidP="00A0288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 a measure of visual attention and task switching, we implemented a computer version of the trail-making task, commonly used to assess visual search capabilities</w:t>
      </w:r>
      <w:hyperlink r:id="rId18">
        <w:r>
          <w:rPr>
            <w:rFonts w:ascii="Times New Roman" w:eastAsia="Times New Roman" w:hAnsi="Times New Roman" w:cs="Times New Roman"/>
            <w:color w:val="000000"/>
            <w:sz w:val="24"/>
            <w:szCs w:val="24"/>
            <w:vertAlign w:val="superscript"/>
          </w:rPr>
          <w:t>10</w:t>
        </w:r>
      </w:hyperlink>
      <w:r>
        <w:rPr>
          <w:rFonts w:ascii="Times New Roman" w:eastAsia="Times New Roman" w:hAnsi="Times New Roman" w:cs="Times New Roman"/>
          <w:sz w:val="24"/>
          <w:szCs w:val="24"/>
        </w:rPr>
        <w:t>. In this task, participants were required to connect a sequence of consecutive targets displayed across the screen, either as numbers (1-2-3...) or as alternating numbers and letters (1-A-2-B-3-C...). Successful task performance involved visually searching for and identifying each subsequent target in the sequence (refer to Figure S6). To optimize task execution, the arrangement of numbers and letters on the screen was designed to avoid overlap or intersecting lines, ensuring clear visual differentiation of targets. This setup facilitated the accurate identification of sequential targets using peripheral vision. Participant performance was assessed by measuring reaction times for target identification and completion of the sequence.</w:t>
      </w:r>
    </w:p>
    <w:p w14:paraId="38FB8E42" w14:textId="77777777" w:rsidR="00A0288F" w:rsidRDefault="00A0288F" w:rsidP="00A0288F">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258D56E4" w14:textId="77777777" w:rsidR="00A0288F" w:rsidRDefault="00A0288F" w:rsidP="00A0288F">
      <w:pPr>
        <w:spacing w:before="20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114300" distB="114300" distL="114300" distR="114300" wp14:anchorId="6FE29E7C" wp14:editId="0DD3FAE1">
            <wp:extent cx="5943600" cy="3060700"/>
            <wp:effectExtent l="0" t="0" r="0" b="0"/>
            <wp:docPr id="7" name="image3.png" descr="A diagram of a mouse&#10;&#10;AI-generated content may be incorrect."/>
            <wp:cNvGraphicFramePr/>
            <a:graphic xmlns:a="http://schemas.openxmlformats.org/drawingml/2006/main">
              <a:graphicData uri="http://schemas.openxmlformats.org/drawingml/2006/picture">
                <pic:pic xmlns:pic="http://schemas.openxmlformats.org/drawingml/2006/picture">
                  <pic:nvPicPr>
                    <pic:cNvPr id="7" name="image3.png" descr="A diagram of a mouse&#10;&#10;AI-generated content may be incorrect."/>
                    <pic:cNvPicPr preferRelativeResize="0"/>
                  </pic:nvPicPr>
                  <pic:blipFill>
                    <a:blip r:embed="rId19"/>
                    <a:srcRect/>
                    <a:stretch>
                      <a:fillRect/>
                    </a:stretch>
                  </pic:blipFill>
                  <pic:spPr>
                    <a:xfrm>
                      <a:off x="0" y="0"/>
                      <a:ext cx="5943600" cy="3060700"/>
                    </a:xfrm>
                    <a:prstGeom prst="rect">
                      <a:avLst/>
                    </a:prstGeom>
                    <a:ln/>
                  </pic:spPr>
                </pic:pic>
              </a:graphicData>
            </a:graphic>
          </wp:inline>
        </w:drawing>
      </w:r>
      <w:r>
        <w:rPr>
          <w:rFonts w:ascii="Times New Roman" w:eastAsia="Times New Roman" w:hAnsi="Times New Roman" w:cs="Times New Roman"/>
          <w:sz w:val="24"/>
          <w:szCs w:val="24"/>
        </w:rPr>
        <w:t xml:space="preserve"> </w:t>
      </w:r>
    </w:p>
    <w:p w14:paraId="3A4B254C" w14:textId="77777777" w:rsidR="00A0288F" w:rsidRDefault="00A0288F" w:rsidP="00A0288F">
      <w:pPr>
        <w:spacing w:before="200"/>
        <w:jc w:val="both"/>
        <w:rPr>
          <w:rFonts w:ascii="Times New Roman" w:eastAsia="Times New Roman" w:hAnsi="Times New Roman" w:cs="Times New Roman"/>
          <w:sz w:val="24"/>
          <w:szCs w:val="24"/>
          <w:u w:val="single"/>
        </w:rPr>
      </w:pPr>
      <w:r>
        <w:rPr>
          <w:rFonts w:ascii="Times New Roman" w:eastAsia="Times New Roman" w:hAnsi="Times New Roman" w:cs="Times New Roman"/>
          <w:b/>
        </w:rPr>
        <w:t>Figure S6. Trail Making Task:</w:t>
      </w:r>
      <w:r>
        <w:rPr>
          <w:rFonts w:ascii="Times New Roman" w:eastAsia="Times New Roman" w:hAnsi="Times New Roman" w:cs="Times New Roman"/>
        </w:rPr>
        <w:t xml:space="preserve"> Participants completed blocks in which they were presented with either numbers (top panel) or a combination of numbers and letters (bottom panel). Using a mouse, they selected items in ascending order.</w:t>
      </w:r>
    </w:p>
    <w:p w14:paraId="0AC7731D" w14:textId="77777777" w:rsidR="00A0288F" w:rsidRDefault="00A0288F" w:rsidP="00FC7C97">
      <w:pPr>
        <w:jc w:val="both"/>
        <w:rPr>
          <w:rFonts w:ascii="Times New Roman" w:eastAsia="Times New Roman" w:hAnsi="Times New Roman" w:cs="Times New Roman"/>
          <w:b/>
          <w:bCs/>
          <w:sz w:val="24"/>
          <w:szCs w:val="24"/>
        </w:rPr>
      </w:pPr>
    </w:p>
    <w:p w14:paraId="3B267041" w14:textId="77777777" w:rsidR="00A0288F" w:rsidRDefault="00A0288F" w:rsidP="00A0288F">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Exogenous Attention: </w:t>
      </w:r>
    </w:p>
    <w:p w14:paraId="5453D816" w14:textId="53CE3F5F" w:rsidR="00A0288F" w:rsidRDefault="00A0288F" w:rsidP="00A0288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Exogenous (or covert) attention refers to an involuntary mechanism that triggers automatic orienting toward a location where a sudden stimulus appears</w:t>
      </w:r>
      <w:hyperlink r:id="rId20">
        <w:r>
          <w:rPr>
            <w:rFonts w:ascii="Times New Roman" w:eastAsia="Times New Roman" w:hAnsi="Times New Roman" w:cs="Times New Roman"/>
            <w:color w:val="000000"/>
            <w:sz w:val="24"/>
            <w:szCs w:val="24"/>
            <w:vertAlign w:val="superscript"/>
          </w:rPr>
          <w:t>11,12</w:t>
        </w:r>
      </w:hyperlink>
      <w:r>
        <w:rPr>
          <w:rFonts w:ascii="Times New Roman" w:eastAsia="Times New Roman" w:hAnsi="Times New Roman" w:cs="Times New Roman"/>
          <w:sz w:val="24"/>
          <w:szCs w:val="24"/>
        </w:rPr>
        <w:t>. It is assessed by presenting a visual cue and measuring the observer's response to a target at either the cued location (congruent) or an uncued location (incongruent). In this study, an exogenous attention task was designed using Landolt-C stimuli, as illustrated in Figure S7. Participants fixated on a central white box and were prepared to direct attention to one of two peripheral target locations (left or right of the fixation box). The target locations were marked by four black dots forming a square. A cue was presented either at the same location as the upcoming target (congruent) or at the opposite location (incongruent), signaled by a color change in the dots at the respective site. To ensure that the observed attentional effects were not confounded by the physical properties of the stimuli, a low-contrast Landolt-C stimulus (contrast = 35%) was used instead of a high-contrast version. This minimized the likelihood that participants could detect the target’s orientation based solely on its contrast</w:t>
      </w:r>
      <w:hyperlink r:id="rId21">
        <w:r>
          <w:rPr>
            <w:rFonts w:ascii="Times New Roman" w:eastAsia="Times New Roman" w:hAnsi="Times New Roman" w:cs="Times New Roman"/>
            <w:color w:val="000000"/>
            <w:sz w:val="24"/>
            <w:szCs w:val="24"/>
            <w:vertAlign w:val="superscript"/>
          </w:rPr>
          <w:t>13–15</w:t>
        </w:r>
      </w:hyperlink>
      <w:r>
        <w:rPr>
          <w:rFonts w:ascii="Times New Roman" w:eastAsia="Times New Roman" w:hAnsi="Times New Roman" w:cs="Times New Roman"/>
          <w:sz w:val="24"/>
          <w:szCs w:val="24"/>
        </w:rPr>
        <w:t>. By employing low-contrast stimuli, the task focused on attentional processing rather than simple detection based on contrast differences. Participants reported the orientation of the Landolt-C using one of four response buttons.</w:t>
      </w:r>
      <w:r w:rsidR="00685490">
        <w:rPr>
          <w:rFonts w:ascii="Times New Roman" w:eastAsia="Times New Roman" w:hAnsi="Times New Roman" w:cs="Times New Roman"/>
          <w:sz w:val="24"/>
          <w:szCs w:val="24"/>
        </w:rPr>
        <w:t xml:space="preserve"> The task consisted of four blocks per cue type (congruent or incongruent) and location (left or right), with each block containing 60 trials, resulting in a total of 240 trials. </w:t>
      </w:r>
    </w:p>
    <w:p w14:paraId="15496D0F" w14:textId="77777777" w:rsidR="00A0288F" w:rsidRDefault="00A0288F" w:rsidP="00A0288F">
      <w:pPr>
        <w:spacing w:before="20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114300" distB="114300" distL="114300" distR="114300" wp14:anchorId="67A6C963" wp14:editId="4005988F">
            <wp:extent cx="5943600" cy="1739900"/>
            <wp:effectExtent l="0" t="0" r="0" b="0"/>
            <wp:docPr id="6" name="image4.png" descr="A diagram of different sizes of square objects&#10;&#10;AI-generated content may be incorrect."/>
            <wp:cNvGraphicFramePr/>
            <a:graphic xmlns:a="http://schemas.openxmlformats.org/drawingml/2006/main">
              <a:graphicData uri="http://schemas.openxmlformats.org/drawingml/2006/picture">
                <pic:pic xmlns:pic="http://schemas.openxmlformats.org/drawingml/2006/picture">
                  <pic:nvPicPr>
                    <pic:cNvPr id="6" name="image4.png" descr="A diagram of different sizes of square objects&#10;&#10;AI-generated content may be incorrect."/>
                    <pic:cNvPicPr preferRelativeResize="0"/>
                  </pic:nvPicPr>
                  <pic:blipFill>
                    <a:blip r:embed="rId22"/>
                    <a:srcRect/>
                    <a:stretch>
                      <a:fillRect/>
                    </a:stretch>
                  </pic:blipFill>
                  <pic:spPr>
                    <a:xfrm>
                      <a:off x="0" y="0"/>
                      <a:ext cx="5943600" cy="1739900"/>
                    </a:xfrm>
                    <a:prstGeom prst="rect">
                      <a:avLst/>
                    </a:prstGeom>
                    <a:ln/>
                  </pic:spPr>
                </pic:pic>
              </a:graphicData>
            </a:graphic>
          </wp:inline>
        </w:drawing>
      </w:r>
    </w:p>
    <w:p w14:paraId="3CE99285" w14:textId="77777777" w:rsidR="00A0288F" w:rsidRDefault="00A0288F" w:rsidP="00A0288F">
      <w:pPr>
        <w:spacing w:before="200"/>
        <w:jc w:val="both"/>
        <w:rPr>
          <w:rFonts w:ascii="Times New Roman" w:eastAsia="Times New Roman" w:hAnsi="Times New Roman" w:cs="Times New Roman"/>
          <w:u w:val="single"/>
        </w:rPr>
      </w:pPr>
      <w:r>
        <w:rPr>
          <w:rFonts w:ascii="Times New Roman" w:eastAsia="Times New Roman" w:hAnsi="Times New Roman" w:cs="Times New Roman"/>
          <w:b/>
        </w:rPr>
        <w:t>Figure S7. Exogenous Attention Task:</w:t>
      </w:r>
      <w:r>
        <w:rPr>
          <w:rFonts w:ascii="Times New Roman" w:eastAsia="Times New Roman" w:hAnsi="Times New Roman" w:cs="Times New Roman"/>
        </w:rPr>
        <w:t xml:space="preserve"> Landolt-C target presented either to the left or right of a central fixation box. A brief visual cue (50 ms) highlighted one of the four black dots at a target location by turning it white. The Landolt-C stimulus subsequently appeared at either the cued or uncued location. Participants responded by indicating the orientation of the gap in the C using designated response buttons. </w:t>
      </w:r>
    </w:p>
    <w:p w14:paraId="169F0138" w14:textId="77777777" w:rsidR="00A0288F" w:rsidRDefault="00A0288F" w:rsidP="00A0288F">
      <w:pPr>
        <w:jc w:val="both"/>
        <w:rPr>
          <w:rFonts w:ascii="Times New Roman" w:eastAsia="Times New Roman" w:hAnsi="Times New Roman" w:cs="Times New Roman"/>
          <w:b/>
          <w:bCs/>
          <w:sz w:val="24"/>
          <w:szCs w:val="24"/>
        </w:rPr>
      </w:pPr>
    </w:p>
    <w:p w14:paraId="42FFF290" w14:textId="77777777" w:rsidR="00A0288F" w:rsidRDefault="00A0288F" w:rsidP="00A0288F">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Endogenous and Sustained Attention: </w:t>
      </w:r>
    </w:p>
    <w:p w14:paraId="7009554D" w14:textId="77777777" w:rsidR="00A0288F" w:rsidRDefault="00A0288F" w:rsidP="00A0288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Endogenous (or overt) attention contrasts with exogenous attention by being a voluntary process in which individuals intentionally direct their gaze to a specific spatial location, often involving eye movements</w:t>
      </w:r>
      <w:hyperlink r:id="rId23">
        <w:r>
          <w:rPr>
            <w:rFonts w:ascii="Times New Roman" w:eastAsia="Times New Roman" w:hAnsi="Times New Roman" w:cs="Times New Roman"/>
            <w:color w:val="000000"/>
            <w:sz w:val="24"/>
            <w:szCs w:val="24"/>
            <w:vertAlign w:val="superscript"/>
          </w:rPr>
          <w:t>14</w:t>
        </w:r>
      </w:hyperlink>
      <w:r>
        <w:rPr>
          <w:rFonts w:ascii="Times New Roman" w:eastAsia="Times New Roman" w:hAnsi="Times New Roman" w:cs="Times New Roman"/>
          <w:sz w:val="24"/>
          <w:szCs w:val="24"/>
        </w:rPr>
        <w:t>. This form of attention is also referred to as sustained attention, as it requires the continuous deployment of focus on a given location for the duration necessary to complete a task</w:t>
      </w:r>
      <w:hyperlink r:id="rId24">
        <w:r>
          <w:rPr>
            <w:rFonts w:ascii="Times New Roman" w:eastAsia="Times New Roman" w:hAnsi="Times New Roman" w:cs="Times New Roman"/>
            <w:color w:val="000000"/>
            <w:sz w:val="24"/>
            <w:szCs w:val="24"/>
            <w:vertAlign w:val="superscript"/>
          </w:rPr>
          <w:t>14</w:t>
        </w:r>
      </w:hyperlink>
      <w:r>
        <w:rPr>
          <w:rFonts w:ascii="Times New Roman" w:eastAsia="Times New Roman" w:hAnsi="Times New Roman" w:cs="Times New Roman"/>
          <w:sz w:val="24"/>
          <w:szCs w:val="24"/>
        </w:rPr>
        <w:t>. To evaluate both endogenous and sustained attention, a task was developed using the Rapid Serial Visual Presentation (RSVP) paradigm. Participants maintained fixation within a central white box while identifying the position of the gap in Landolt-C stimuli (Figure S8). Targets appeared in one of three peripheral locations: one corresponding to the preferred retinal locus (PRL) and two control locations. At the beginning of each trial, three circles, representing the possible target locations, were displayed. The task included 144 trials, with 40 congruent trials and 8 incongruent trials for each location. Trials were self-initiated by the participant’s response to a target within one of the circles, which triggered the sustained attention phase. During this phase, an RSVP sequence of 6–16 items, comprising 3–5 Landolt-C targets and 3–11 O-shaped distractors, was presented. Distractors temporally spaced the target presentations to assess accuracy under sustained attention. Participants were required to report the orientation of each target C while ignoring distractors. At the end of each trial, an endogenous cue (a white arrow) indicated the location of the next target. The subsequent target either appeared at the cued location (congruent) or at one of the uncued locations (incongruent). Task performance was evaluated based on accuracy and reaction times across the three locations. Sustained attention was measured as reaction times to targets within the RSVP stream, while endogenous attention was assessed by comparing reaction times and accuracy during location switching between congruent and incongruent trials.</w:t>
      </w:r>
    </w:p>
    <w:p w14:paraId="311A66C1" w14:textId="77777777" w:rsidR="00A0288F" w:rsidRDefault="00A0288F" w:rsidP="00A0288F">
      <w:pPr>
        <w:ind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114300" distB="114300" distL="114300" distR="114300" wp14:anchorId="520B84A8" wp14:editId="76B3AB4D">
            <wp:extent cx="5943600" cy="1663700"/>
            <wp:effectExtent l="0" t="0" r="0" b="0"/>
            <wp:docPr id="9" name="image8.png" descr="A diagram of a diagram&#10;&#10;AI-generated content may be incorrect."/>
            <wp:cNvGraphicFramePr/>
            <a:graphic xmlns:a="http://schemas.openxmlformats.org/drawingml/2006/main">
              <a:graphicData uri="http://schemas.openxmlformats.org/drawingml/2006/picture">
                <pic:pic xmlns:pic="http://schemas.openxmlformats.org/drawingml/2006/picture">
                  <pic:nvPicPr>
                    <pic:cNvPr id="9" name="image8.png" descr="A diagram of a diagram&#10;&#10;AI-generated content may be incorrect."/>
                    <pic:cNvPicPr preferRelativeResize="0"/>
                  </pic:nvPicPr>
                  <pic:blipFill>
                    <a:blip r:embed="rId25"/>
                    <a:srcRect/>
                    <a:stretch>
                      <a:fillRect/>
                    </a:stretch>
                  </pic:blipFill>
                  <pic:spPr>
                    <a:xfrm>
                      <a:off x="0" y="0"/>
                      <a:ext cx="5943600" cy="1663700"/>
                    </a:xfrm>
                    <a:prstGeom prst="rect">
                      <a:avLst/>
                    </a:prstGeom>
                    <a:ln/>
                  </pic:spPr>
                </pic:pic>
              </a:graphicData>
            </a:graphic>
          </wp:inline>
        </w:drawing>
      </w:r>
      <w:r>
        <w:rPr>
          <w:rFonts w:ascii="Times New Roman" w:eastAsia="Times New Roman" w:hAnsi="Times New Roman" w:cs="Times New Roman"/>
          <w:sz w:val="24"/>
          <w:szCs w:val="24"/>
        </w:rPr>
        <w:t xml:space="preserve"> </w:t>
      </w:r>
    </w:p>
    <w:p w14:paraId="5CE4D6A6" w14:textId="77777777" w:rsidR="00A0288F" w:rsidRDefault="00A0288F" w:rsidP="00A0288F">
      <w:pPr>
        <w:spacing w:before="200"/>
        <w:jc w:val="both"/>
        <w:rPr>
          <w:rFonts w:ascii="Times New Roman" w:eastAsia="Times New Roman" w:hAnsi="Times New Roman" w:cs="Times New Roman"/>
          <w:b/>
        </w:rPr>
      </w:pPr>
      <w:r>
        <w:rPr>
          <w:rFonts w:ascii="Times New Roman" w:eastAsia="Times New Roman" w:hAnsi="Times New Roman" w:cs="Times New Roman"/>
          <w:b/>
        </w:rPr>
        <w:t xml:space="preserve">Figure S8. Endogenous and Sustained Attention RSVP Task: </w:t>
      </w:r>
      <w:r>
        <w:rPr>
          <w:rFonts w:ascii="Times New Roman" w:eastAsia="Times New Roman" w:hAnsi="Times New Roman" w:cs="Times New Roman"/>
        </w:rPr>
        <w:t>This task requires participants to respond to a sequence of targets (Landolt C’s) interspersed with distractors (O’s). Each block begins with a participant-initiated response to the orientation of a C presented at one of three possible locations, indicated by empty circles. At the conclusion of each trial, an endogenous cue (an arrow) is displayed, indicating the location of the next target.</w:t>
      </w:r>
      <w:r>
        <w:rPr>
          <w:rFonts w:ascii="Times New Roman" w:eastAsia="Times New Roman" w:hAnsi="Times New Roman" w:cs="Times New Roman"/>
          <w:b/>
        </w:rPr>
        <w:t xml:space="preserve"> </w:t>
      </w:r>
      <w:r>
        <w:rPr>
          <w:rFonts w:ascii="Times New Roman" w:eastAsia="Times New Roman" w:hAnsi="Times New Roman" w:cs="Times New Roman"/>
        </w:rPr>
        <w:t xml:space="preserve">The figure above demonstrates a congruent trial, where the target appears at the cued location. </w:t>
      </w:r>
    </w:p>
    <w:p w14:paraId="4EDB3073" w14:textId="77777777" w:rsidR="00A0288F" w:rsidRDefault="00A0288F" w:rsidP="00A0288F">
      <w:pPr>
        <w:jc w:val="both"/>
        <w:rPr>
          <w:rFonts w:ascii="Times New Roman" w:eastAsia="Times New Roman" w:hAnsi="Times New Roman" w:cs="Times New Roman"/>
          <w:b/>
          <w:bCs/>
          <w:sz w:val="24"/>
          <w:szCs w:val="24"/>
        </w:rPr>
      </w:pPr>
    </w:p>
    <w:p w14:paraId="04F46D1C" w14:textId="1B4295F1" w:rsidR="00FC7C97" w:rsidRPr="00FC7C97" w:rsidRDefault="00A0288F" w:rsidP="00FC7C97">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r w:rsidR="00FC7C97" w:rsidRPr="00FC7C97">
        <w:rPr>
          <w:rFonts w:ascii="Times New Roman" w:eastAsia="Times New Roman" w:hAnsi="Times New Roman" w:cs="Times New Roman"/>
          <w:b/>
          <w:bCs/>
          <w:sz w:val="24"/>
          <w:szCs w:val="24"/>
        </w:rPr>
        <w:t>4 Getting feedback</w:t>
      </w:r>
    </w:p>
    <w:p w14:paraId="360C4DC8" w14:textId="706F6D41" w:rsidR="00A0288F" w:rsidRPr="00A0288F" w:rsidRDefault="00000000" w:rsidP="00A0288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Participants were provided feedback on their responses through different auditory feedback for correct and incorrect answers. A high-pitched tone was presented for correct responses, while a low-pitched tone signaled incorrect responses. Trials were terminated if participants failed to maintain fixation at the beginning of the trial or did not respond within 8 seconds. </w:t>
      </w:r>
    </w:p>
    <w:p w14:paraId="37F27791" w14:textId="12ABE52A" w:rsidR="00321B55" w:rsidRDefault="00A0288F">
      <w:pPr>
        <w:spacing w:before="240" w:after="24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Training Tasks</w:t>
      </w:r>
    </w:p>
    <w:p w14:paraId="6BE1C625" w14:textId="2FC2B01A" w:rsidR="00321B55" w:rsidRDefault="00000000" w:rsidP="00A0288F">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present </w:t>
      </w:r>
      <w:r w:rsidR="007A2F0B">
        <w:rPr>
          <w:rFonts w:ascii="Times New Roman" w:eastAsia="Times New Roman" w:hAnsi="Times New Roman" w:cs="Times New Roman"/>
          <w:sz w:val="24"/>
          <w:szCs w:val="24"/>
        </w:rPr>
        <w:t>three</w:t>
      </w:r>
      <w:r>
        <w:rPr>
          <w:rFonts w:ascii="Times New Roman" w:eastAsia="Times New Roman" w:hAnsi="Times New Roman" w:cs="Times New Roman"/>
          <w:sz w:val="24"/>
          <w:szCs w:val="24"/>
        </w:rPr>
        <w:t xml:space="preserve"> different training tasks designed within this framework and developed to train different levels of visual processing. Participants are trained within their PRL identified from the PRL induction task (i.e., targets are presented either on the left or right locations of the scotoma depending on participant-specific PRL). This allows us to track performance and oculomotor behavior within the PRL as well as assess whether learning transfers to other untrained peripheral locations.   </w:t>
      </w:r>
    </w:p>
    <w:p w14:paraId="60607E65" w14:textId="0CE08BF8" w:rsidR="00A0288F" w:rsidRDefault="00A0288F" w:rsidP="00A0288F">
      <w:pP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w:t>
      </w:r>
      <w:r w:rsidRPr="00FC7C97">
        <w:rPr>
          <w:rFonts w:ascii="Times New Roman" w:eastAsia="Times New Roman" w:hAnsi="Times New Roman" w:cs="Times New Roman"/>
          <w:b/>
          <w:bCs/>
          <w:iCs/>
          <w:sz w:val="24"/>
          <w:szCs w:val="24"/>
        </w:rPr>
        <w:t>.</w:t>
      </w:r>
      <w:r>
        <w:rPr>
          <w:rFonts w:ascii="Times New Roman" w:eastAsia="Times New Roman" w:hAnsi="Times New Roman" w:cs="Times New Roman"/>
          <w:b/>
          <w:bCs/>
          <w:iCs/>
          <w:sz w:val="24"/>
          <w:szCs w:val="24"/>
        </w:rPr>
        <w:t>1</w:t>
      </w:r>
      <w:r w:rsidRPr="00FC7C97">
        <w:rPr>
          <w:rFonts w:ascii="Times New Roman" w:eastAsia="Times New Roman" w:hAnsi="Times New Roman" w:cs="Times New Roman"/>
          <w:b/>
          <w:bCs/>
          <w:iCs/>
          <w:sz w:val="24"/>
          <w:szCs w:val="24"/>
        </w:rPr>
        <w:t xml:space="preserve"> Placing eyes at the center before each trial begins</w:t>
      </w:r>
    </w:p>
    <w:p w14:paraId="74012E3E" w14:textId="179D3205" w:rsidR="00A0288F" w:rsidRDefault="00A0288F" w:rsidP="00A0288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Each trial commenced with a central fixation box, designed to be slightly larger than the simulated scotoma. Pa</w:t>
      </w:r>
      <w:r w:rsidR="008528AC">
        <w:rPr>
          <w:rFonts w:ascii="Times New Roman" w:eastAsia="Times New Roman" w:hAnsi="Times New Roman" w:cs="Times New Roman"/>
          <w:sz w:val="24"/>
          <w:szCs w:val="24"/>
        </w:rPr>
        <w:t>rticipant</w:t>
      </w:r>
      <w:r>
        <w:rPr>
          <w:rFonts w:ascii="Times New Roman" w:eastAsia="Times New Roman" w:hAnsi="Times New Roman" w:cs="Times New Roman"/>
          <w:sz w:val="24"/>
          <w:szCs w:val="24"/>
        </w:rPr>
        <w:t xml:space="preserve">s were instructed to place the scotoma within this box and maintain it for 750 ms inter-trial interval (ITI) to allow the beginning of the trial. </w:t>
      </w:r>
    </w:p>
    <w:p w14:paraId="6C57FCFA" w14:textId="77777777" w:rsidR="00A0288F" w:rsidRDefault="00A0288F" w:rsidP="00A0288F">
      <w:pPr>
        <w:jc w:val="both"/>
        <w:rPr>
          <w:rFonts w:ascii="Times New Roman" w:eastAsia="Times New Roman" w:hAnsi="Times New Roman" w:cs="Times New Roman"/>
          <w:b/>
          <w:bCs/>
          <w:sz w:val="24"/>
          <w:szCs w:val="24"/>
        </w:rPr>
      </w:pPr>
    </w:p>
    <w:p w14:paraId="0690F7CA" w14:textId="2E33AF72" w:rsidR="00A0288F" w:rsidRPr="00FC7C97" w:rsidRDefault="00A0288F" w:rsidP="00A0288F">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2.2</w:t>
      </w:r>
      <w:r w:rsidRPr="00FC7C97">
        <w:rPr>
          <w:rFonts w:ascii="Times New Roman" w:eastAsia="Times New Roman" w:hAnsi="Times New Roman" w:cs="Times New Roman"/>
          <w:b/>
          <w:bCs/>
          <w:sz w:val="24"/>
          <w:szCs w:val="24"/>
        </w:rPr>
        <w:t xml:space="preserve"> Present</w:t>
      </w:r>
      <w:r>
        <w:rPr>
          <w:rFonts w:ascii="Times New Roman" w:eastAsia="Times New Roman" w:hAnsi="Times New Roman" w:cs="Times New Roman"/>
          <w:b/>
          <w:bCs/>
          <w:sz w:val="24"/>
          <w:szCs w:val="24"/>
        </w:rPr>
        <w:t>ation of</w:t>
      </w:r>
      <w:r w:rsidRPr="00FC7C97">
        <w:rPr>
          <w:rFonts w:ascii="Times New Roman" w:eastAsia="Times New Roman" w:hAnsi="Times New Roman" w:cs="Times New Roman"/>
          <w:b/>
          <w:bCs/>
          <w:sz w:val="24"/>
          <w:szCs w:val="24"/>
        </w:rPr>
        <w:t xml:space="preserve"> a visual cue</w:t>
      </w:r>
      <w:r>
        <w:rPr>
          <w:rFonts w:ascii="Times New Roman" w:eastAsia="Times New Roman" w:hAnsi="Times New Roman" w:cs="Times New Roman"/>
          <w:b/>
          <w:bCs/>
          <w:sz w:val="24"/>
          <w:szCs w:val="24"/>
        </w:rPr>
        <w:t xml:space="preserve"> while participant is keeping their fixation at the center</w:t>
      </w:r>
    </w:p>
    <w:p w14:paraId="027EA254" w14:textId="675E6CE1" w:rsidR="00A0288F" w:rsidRDefault="00A0288F" w:rsidP="00A0288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750 ms inter-trial interval preceded a </w:t>
      </w:r>
      <w:r w:rsidR="00685490">
        <w:rPr>
          <w:rFonts w:ascii="Times New Roman" w:eastAsia="Times New Roman" w:hAnsi="Times New Roman" w:cs="Times New Roman"/>
          <w:sz w:val="24"/>
          <w:szCs w:val="24"/>
        </w:rPr>
        <w:t>6</w:t>
      </w:r>
      <w:r>
        <w:rPr>
          <w:rFonts w:ascii="Times New Roman" w:eastAsia="Times New Roman" w:hAnsi="Times New Roman" w:cs="Times New Roman"/>
          <w:sz w:val="24"/>
          <w:szCs w:val="24"/>
        </w:rPr>
        <w:t>50 ms fixation period, during which participants were presented with a visual cue (a white dot) signaling the location of the imminent appearance of the target</w:t>
      </w:r>
      <w:r w:rsidR="008528AC">
        <w:rPr>
          <w:rFonts w:ascii="Times New Roman" w:eastAsia="Times New Roman" w:hAnsi="Times New Roman" w:cs="Times New Roman"/>
          <w:sz w:val="24"/>
          <w:szCs w:val="24"/>
        </w:rPr>
        <w:t xml:space="preserve"> for contrast sensitivity and contour integration trainings</w:t>
      </w:r>
      <w:r>
        <w:rPr>
          <w:rFonts w:ascii="Times New Roman" w:eastAsia="Times New Roman" w:hAnsi="Times New Roman" w:cs="Times New Roman"/>
          <w:sz w:val="24"/>
          <w:szCs w:val="24"/>
        </w:rPr>
        <w:t xml:space="preserve">. </w:t>
      </w:r>
      <w:r w:rsidR="00DD7CF5">
        <w:rPr>
          <w:rFonts w:ascii="Times New Roman" w:eastAsia="Times New Roman" w:hAnsi="Times New Roman" w:cs="Times New Roman"/>
          <w:sz w:val="24"/>
          <w:szCs w:val="24"/>
        </w:rPr>
        <w:t xml:space="preserve">For attention and eye movement training, participants were required to maintain their fixation for 50 ms during exo cue presentation, for 133 ms during endo cue presentation. </w:t>
      </w:r>
      <w:r>
        <w:rPr>
          <w:rFonts w:ascii="Times New Roman" w:eastAsia="Times New Roman" w:hAnsi="Times New Roman" w:cs="Times New Roman"/>
          <w:sz w:val="24"/>
          <w:szCs w:val="24"/>
        </w:rPr>
        <w:t xml:space="preserve">Successful fixation was required for the </w:t>
      </w:r>
      <w:r>
        <w:rPr>
          <w:rFonts w:ascii="Times New Roman" w:eastAsia="Times New Roman" w:hAnsi="Times New Roman" w:cs="Times New Roman"/>
          <w:sz w:val="24"/>
          <w:szCs w:val="24"/>
        </w:rPr>
        <w:lastRenderedPageBreak/>
        <w:t xml:space="preserve">target to be displayed. If the participant's scotoma deviated outside the fixation box, the fixation timer reset until stable fixation was achieved. This protocol ensured that participants maintained a central fixation to optimize target presentation in the intended location. </w:t>
      </w:r>
    </w:p>
    <w:p w14:paraId="4F262EDB" w14:textId="77777777" w:rsidR="00A0288F" w:rsidRDefault="00A0288F" w:rsidP="00A0288F">
      <w:pPr>
        <w:jc w:val="both"/>
        <w:rPr>
          <w:rFonts w:ascii="Times New Roman" w:eastAsia="Times New Roman" w:hAnsi="Times New Roman" w:cs="Times New Roman"/>
          <w:b/>
          <w:bCs/>
          <w:sz w:val="24"/>
          <w:szCs w:val="24"/>
        </w:rPr>
      </w:pPr>
    </w:p>
    <w:p w14:paraId="002AAD56" w14:textId="6C5A9D77" w:rsidR="008528AC" w:rsidRDefault="008528AC" w:rsidP="00A0288F">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2.3 Post fixation block</w:t>
      </w:r>
    </w:p>
    <w:p w14:paraId="687BCF49" w14:textId="4B882838" w:rsidR="008528AC" w:rsidRDefault="008528AC" w:rsidP="00A0288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Participants were instructed to place the scotoma within the central box and maintain it for 100 ms post fixation blank for contrast sensitivity and attention and eye movement training, for 200 ms post fixation blank for contour integration training to allow the presentation of the stimulus.</w:t>
      </w:r>
    </w:p>
    <w:p w14:paraId="5B74A851" w14:textId="77777777" w:rsidR="008528AC" w:rsidRPr="008528AC" w:rsidRDefault="008528AC" w:rsidP="00A0288F">
      <w:pPr>
        <w:jc w:val="both"/>
        <w:rPr>
          <w:rFonts w:ascii="Times New Roman" w:eastAsia="Times New Roman" w:hAnsi="Times New Roman" w:cs="Times New Roman"/>
          <w:sz w:val="24"/>
          <w:szCs w:val="24"/>
        </w:rPr>
      </w:pPr>
    </w:p>
    <w:p w14:paraId="68D1B61B" w14:textId="74261B71" w:rsidR="00A0288F" w:rsidRPr="00685490" w:rsidRDefault="00A0288F" w:rsidP="00A0288F">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r w:rsidR="008528AC">
        <w:rPr>
          <w:rFonts w:ascii="Times New Roman" w:eastAsia="Times New Roman" w:hAnsi="Times New Roman" w:cs="Times New Roman"/>
          <w:b/>
          <w:bCs/>
          <w:sz w:val="24"/>
          <w:szCs w:val="24"/>
        </w:rPr>
        <w:t>4</w:t>
      </w:r>
      <w:r>
        <w:rPr>
          <w:rFonts w:ascii="Times New Roman" w:eastAsia="Times New Roman" w:hAnsi="Times New Roman" w:cs="Times New Roman"/>
          <w:b/>
          <w:bCs/>
          <w:sz w:val="24"/>
          <w:szCs w:val="24"/>
        </w:rPr>
        <w:t xml:space="preserve"> </w:t>
      </w:r>
      <w:r w:rsidRPr="00FC7C97">
        <w:rPr>
          <w:rFonts w:ascii="Times New Roman" w:eastAsia="Times New Roman" w:hAnsi="Times New Roman" w:cs="Times New Roman"/>
          <w:b/>
          <w:bCs/>
          <w:sz w:val="24"/>
          <w:szCs w:val="24"/>
        </w:rPr>
        <w:t>Presentation of the target</w:t>
      </w:r>
    </w:p>
    <w:p w14:paraId="7FED262D" w14:textId="19478BFA" w:rsidR="00A0288F" w:rsidRDefault="00000000" w:rsidP="00685490">
      <w:pPr>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u w:val="single"/>
        </w:rPr>
        <w:t>Contrast sensitivity (CS) Training:</w:t>
      </w:r>
    </w:p>
    <w:p w14:paraId="4F6F3B42" w14:textId="15F555E6" w:rsidR="00321B55" w:rsidRPr="00A0288F" w:rsidRDefault="007A2F0B" w:rsidP="00A0288F">
      <w:pPr>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This task was based upon a standard perceptual learning approach where participants are trained to discriminate orientations (45° or 135°) of Gabor patches presented at different contrast levels </w:t>
      </w:r>
      <w:hyperlink r:id="rId26">
        <w:r>
          <w:rPr>
            <w:rFonts w:ascii="Times New Roman" w:eastAsia="Times New Roman" w:hAnsi="Times New Roman" w:cs="Times New Roman"/>
            <w:color w:val="000000"/>
            <w:sz w:val="24"/>
            <w:szCs w:val="24"/>
            <w:vertAlign w:val="superscript"/>
          </w:rPr>
          <w:t>16–20</w:t>
        </w:r>
      </w:hyperlink>
      <w:r>
        <w:rPr>
          <w:rFonts w:ascii="Times New Roman" w:eastAsia="Times New Roman" w:hAnsi="Times New Roman" w:cs="Times New Roman"/>
          <w:sz w:val="24"/>
          <w:szCs w:val="24"/>
        </w:rPr>
        <w:t>. Both the contrast and spatial frequency of the Gabors were manipulated during training. The starting contrast and spatial frequency levels were 15% and 1.5 cpd respectively, and the contrast of the Gabor patch changed according to a 3 down 1 up adaptive staircase procedure. Once the participant reached the 1% contrast threshold, the spatial frequency would increase by 2 cpd. This allowed us to quantify learning as a function of contrast sensitivity across different spatial frequencies, measuring both contrast and spatial frequency thresholds at the end of training. Preliminary data from this method in healthy individuals and MD patients show both feasibility and evidence that this training gives rise to improvements in acuity</w:t>
      </w:r>
      <w:hyperlink r:id="rId27">
        <w:r>
          <w:rPr>
            <w:rFonts w:ascii="Times New Roman" w:eastAsia="Times New Roman" w:hAnsi="Times New Roman" w:cs="Times New Roman"/>
            <w:color w:val="000000"/>
            <w:sz w:val="24"/>
            <w:szCs w:val="24"/>
            <w:vertAlign w:val="superscript"/>
          </w:rPr>
          <w:t>21</w:t>
        </w:r>
      </w:hyperlink>
      <w:r>
        <w:rPr>
          <w:rFonts w:ascii="Times New Roman" w:eastAsia="Times New Roman" w:hAnsi="Times New Roman" w:cs="Times New Roman"/>
          <w:sz w:val="24"/>
          <w:szCs w:val="24"/>
        </w:rPr>
        <w:t xml:space="preserve">. Figure S9 shows a visual illustration of the events within a single trial of this training task. </w:t>
      </w:r>
    </w:p>
    <w:p w14:paraId="79411FB3" w14:textId="77777777" w:rsidR="00321B55" w:rsidRDefault="00000000">
      <w:pPr>
        <w:spacing w:before="240" w:after="24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66409D50" wp14:editId="57E005BD">
            <wp:extent cx="5943600" cy="1346200"/>
            <wp:effectExtent l="0" t="0" r="0" b="0"/>
            <wp:docPr id="8"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8"/>
                    <a:srcRect/>
                    <a:stretch>
                      <a:fillRect/>
                    </a:stretch>
                  </pic:blipFill>
                  <pic:spPr>
                    <a:xfrm>
                      <a:off x="0" y="0"/>
                      <a:ext cx="5943600" cy="1346200"/>
                    </a:xfrm>
                    <a:prstGeom prst="rect">
                      <a:avLst/>
                    </a:prstGeom>
                    <a:ln/>
                  </pic:spPr>
                </pic:pic>
              </a:graphicData>
            </a:graphic>
          </wp:inline>
        </w:drawing>
      </w:r>
      <w:r>
        <w:rPr>
          <w:rFonts w:ascii="Times New Roman" w:eastAsia="Times New Roman" w:hAnsi="Times New Roman" w:cs="Times New Roman"/>
          <w:sz w:val="24"/>
          <w:szCs w:val="24"/>
        </w:rPr>
        <w:t xml:space="preserve"> </w:t>
      </w:r>
    </w:p>
    <w:p w14:paraId="526A163B" w14:textId="0354F75C" w:rsidR="00321B55" w:rsidRDefault="00000000">
      <w:pPr>
        <w:spacing w:before="240" w:after="240"/>
        <w:jc w:val="both"/>
        <w:rPr>
          <w:rFonts w:ascii="Times New Roman" w:eastAsia="Times New Roman" w:hAnsi="Times New Roman" w:cs="Times New Roman"/>
        </w:rPr>
      </w:pPr>
      <w:r>
        <w:rPr>
          <w:rFonts w:ascii="Times New Roman" w:eastAsia="Times New Roman" w:hAnsi="Times New Roman" w:cs="Times New Roman"/>
          <w:b/>
        </w:rPr>
        <w:t>Figure S9. Contrast Sensitivity Training:</w:t>
      </w:r>
      <w:r>
        <w:rPr>
          <w:rFonts w:ascii="Times New Roman" w:eastAsia="Times New Roman" w:hAnsi="Times New Roman" w:cs="Times New Roman"/>
        </w:rPr>
        <w:t xml:space="preserve"> This figure shows events within a single trial of the training task where the target is presented in either the left (135°) or right (45°) orientation after constrained fixation within a central white box for 650 ms. A white dot is presented during the fixation period indicative of the location of the upcoming target. Participants record their responses using the green (left) and red (right) buttons on the Response box.</w:t>
      </w:r>
    </w:p>
    <w:p w14:paraId="06CFA8F7" w14:textId="77777777" w:rsidR="008528AC" w:rsidRDefault="00000000" w:rsidP="008528AC">
      <w:pPr>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Contour Integration (CI) Training:</w:t>
      </w:r>
    </w:p>
    <w:p w14:paraId="1A917012" w14:textId="1D9F6418" w:rsidR="00321B55" w:rsidRPr="008528AC" w:rsidRDefault="007A2F0B" w:rsidP="008528AC">
      <w:pPr>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This task train participants on a contour integration (Figure S10) and is based upon previous PL studies to train mid-level visual processes</w:t>
      </w:r>
      <w:hyperlink r:id="rId29">
        <w:r>
          <w:rPr>
            <w:rFonts w:ascii="Times New Roman" w:eastAsia="Times New Roman" w:hAnsi="Times New Roman" w:cs="Times New Roman"/>
            <w:color w:val="000000"/>
            <w:sz w:val="24"/>
            <w:szCs w:val="24"/>
            <w:vertAlign w:val="superscript"/>
          </w:rPr>
          <w:t>22,23</w:t>
        </w:r>
      </w:hyperlink>
      <w:r>
        <w:rPr>
          <w:rFonts w:ascii="Times New Roman" w:eastAsia="Times New Roman" w:hAnsi="Times New Roman" w:cs="Times New Roman"/>
          <w:sz w:val="24"/>
          <w:szCs w:val="24"/>
        </w:rPr>
        <w:t xml:space="preserve">. The stimuli consisted of contours used in the CI assessment task (eggs and d/p) in addition to several other optotypes to promote generalization (i.e., horizontal/vertical lines, letters such as q/b, and numbers such as 6/9, 2/5). In addition to this, </w:t>
      </w:r>
      <w:r>
        <w:rPr>
          <w:rFonts w:ascii="Times New Roman" w:eastAsia="Times New Roman" w:hAnsi="Times New Roman" w:cs="Times New Roman"/>
          <w:sz w:val="24"/>
          <w:szCs w:val="24"/>
        </w:rPr>
        <w:lastRenderedPageBreak/>
        <w:t xml:space="preserve">all shapes are rotated 90° counterclockwise thus presenting a total of 16 different shapes during training. Difficulty was manipulated by varying orientation jitter of the Gabor stimuli making up the target using a 3 down 1 up adaptive staircase: jitter values, stimulus type, and density were chosen based on data from previous studies </w:t>
      </w:r>
      <w:hyperlink r:id="rId30">
        <w:r>
          <w:rPr>
            <w:rFonts w:ascii="Times New Roman" w:eastAsia="Times New Roman" w:hAnsi="Times New Roman" w:cs="Times New Roman"/>
            <w:color w:val="000000"/>
            <w:sz w:val="24"/>
            <w:szCs w:val="24"/>
            <w:vertAlign w:val="superscript"/>
          </w:rPr>
          <w:t>24–26</w:t>
        </w:r>
      </w:hyperlink>
      <w:r>
        <w:rPr>
          <w:rFonts w:ascii="Times New Roman" w:eastAsia="Times New Roman" w:hAnsi="Times New Roman" w:cs="Times New Roman"/>
          <w:sz w:val="24"/>
          <w:szCs w:val="24"/>
        </w:rPr>
        <w:t xml:space="preserve">. A total of three different shapes were presented in each training session such that the d/p shape was presented throughout all training sessions. This allowed us to measure both learning and changes in performance thresholds on this shape (from the CI assessment task) as a result of training.     </w:t>
      </w:r>
    </w:p>
    <w:p w14:paraId="58852CA4" w14:textId="77777777" w:rsidR="00321B55" w:rsidRDefault="00000000">
      <w:pPr>
        <w:spacing w:before="240" w:after="2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48491148" wp14:editId="3628C708">
            <wp:extent cx="5943600" cy="1447800"/>
            <wp:effectExtent l="0" t="0" r="0" b="0"/>
            <wp:docPr id="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1"/>
                    <a:srcRect/>
                    <a:stretch>
                      <a:fillRect/>
                    </a:stretch>
                  </pic:blipFill>
                  <pic:spPr>
                    <a:xfrm>
                      <a:off x="0" y="0"/>
                      <a:ext cx="5943600" cy="1447800"/>
                    </a:xfrm>
                    <a:prstGeom prst="rect">
                      <a:avLst/>
                    </a:prstGeom>
                    <a:ln/>
                  </pic:spPr>
                </pic:pic>
              </a:graphicData>
            </a:graphic>
          </wp:inline>
        </w:drawing>
      </w:r>
    </w:p>
    <w:p w14:paraId="080E8213" w14:textId="77777777" w:rsidR="00321B55" w:rsidRDefault="00000000" w:rsidP="008528AC">
      <w:pPr>
        <w:spacing w:before="240" w:after="240"/>
        <w:jc w:val="both"/>
        <w:rPr>
          <w:rFonts w:ascii="Times New Roman" w:eastAsia="Times New Roman" w:hAnsi="Times New Roman" w:cs="Times New Roman"/>
        </w:rPr>
      </w:pPr>
      <w:r>
        <w:rPr>
          <w:rFonts w:ascii="Times New Roman" w:eastAsia="Times New Roman" w:hAnsi="Times New Roman" w:cs="Times New Roman"/>
          <w:b/>
        </w:rPr>
        <w:t xml:space="preserve">Figure S10. Contour Integration Training: </w:t>
      </w:r>
      <w:r>
        <w:rPr>
          <w:rFonts w:ascii="Times New Roman" w:eastAsia="Times New Roman" w:hAnsi="Times New Roman" w:cs="Times New Roman"/>
        </w:rPr>
        <w:t>This figure provides an overview of the events within a single trial of the contour integration training. Participants were trained within their PRL (in this case, location to the right of the scotoma) on several different contour shape pairs.</w:t>
      </w:r>
    </w:p>
    <w:p w14:paraId="364A53B9" w14:textId="77777777" w:rsidR="008528AC" w:rsidRDefault="00000000" w:rsidP="008528AC">
      <w:pPr>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Attention and Eye Movement Training: </w:t>
      </w:r>
    </w:p>
    <w:p w14:paraId="434C66EA" w14:textId="44FCEE2F" w:rsidR="00321B55" w:rsidRPr="008528AC" w:rsidRDefault="00AF2B34" w:rsidP="008528AC">
      <w:pPr>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This task trained participants to alternate between holding and switching attention and making targeted eye movements</w:t>
      </w:r>
      <w:r w:rsidRPr="00AF2B34">
        <w:rPr>
          <w:rFonts w:ascii="Times New Roman" w:eastAsia="Times New Roman" w:hAnsi="Times New Roman" w:cs="Times New Roman"/>
          <w:sz w:val="24"/>
          <w:szCs w:val="24"/>
          <w:vertAlign w:val="superscript"/>
        </w:rPr>
        <w:t>14</w:t>
      </w:r>
      <w:r>
        <w:rPr>
          <w:rFonts w:ascii="Times New Roman" w:eastAsia="Times New Roman" w:hAnsi="Times New Roman" w:cs="Times New Roman"/>
          <w:sz w:val="24"/>
          <w:szCs w:val="24"/>
        </w:rPr>
        <w:t xml:space="preserve">. In this task, participants were required to make an eye movement toward a target that appeared on the screen (the letter O) as shown in Figure S11, and maintain fixation of this target within the PRL until it stopped flickering. If the participant moved their eyes away from the target i.e., the target was no longer within the PRL ring, the flickering would stop and fixation would need to be reacquired in order to complete a trial. After 2-3 trials of sustained performance at a given location, a cue would prompt participants to indicate the new location of the target. Participants were required to switch attention and make an eye movement to perform the task in the new location. Two types of cues were presented: (1) an exogenous cue, which was a high-contrast white circle that flashed briefly at the new random location, after which it would turn into a white dot and remain so until the participant directed the PRL to the location of the dot and maintained fixation on the dot within the PRL ring for 650 ms, and (2) an endogenous cue,  which was a white arrow presented at the same location indicating the direction (but not distance) of the upcoming new target, where a low contrast white dot would and increase in contrast until the participant directed their PRL ring on the white dot and maintained fixation. The trials were blocked by the cue type and thus, participants had to maintain vigilance for relatively long periods, detect objects in the near periphery, switch attention based on exogenous and endogenous cues, and make eye movements to corresponding locations. This training type vastly differs from contrast sensitivity and contour integration training as it engages both attentional and eye-movement mechanisms.   </w:t>
      </w:r>
    </w:p>
    <w:p w14:paraId="6514F566" w14:textId="77777777" w:rsidR="00321B55" w:rsidRDefault="00000000">
      <w:pPr>
        <w:spacing w:before="240" w:after="24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114300" distB="114300" distL="114300" distR="114300" wp14:anchorId="55684982" wp14:editId="1CD8E4A2">
            <wp:extent cx="5943600" cy="2971800"/>
            <wp:effectExtent l="0" t="0" r="0" b="0"/>
            <wp:docPr id="10"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32"/>
                    <a:srcRect/>
                    <a:stretch>
                      <a:fillRect/>
                    </a:stretch>
                  </pic:blipFill>
                  <pic:spPr>
                    <a:xfrm>
                      <a:off x="0" y="0"/>
                      <a:ext cx="5943600" cy="2971800"/>
                    </a:xfrm>
                    <a:prstGeom prst="rect">
                      <a:avLst/>
                    </a:prstGeom>
                    <a:ln/>
                  </pic:spPr>
                </pic:pic>
              </a:graphicData>
            </a:graphic>
          </wp:inline>
        </w:drawing>
      </w:r>
    </w:p>
    <w:p w14:paraId="2F5E6E89" w14:textId="3619F2E9" w:rsidR="00321B55" w:rsidRPr="00685490" w:rsidRDefault="00000000" w:rsidP="00685490">
      <w:pPr>
        <w:spacing w:before="240" w:after="240"/>
        <w:jc w:val="both"/>
        <w:rPr>
          <w:rFonts w:ascii="Times New Roman" w:eastAsia="Times New Roman" w:hAnsi="Times New Roman" w:cs="Times New Roman"/>
        </w:rPr>
      </w:pPr>
      <w:r>
        <w:rPr>
          <w:rFonts w:ascii="Times New Roman" w:eastAsia="Times New Roman" w:hAnsi="Times New Roman" w:cs="Times New Roman"/>
          <w:b/>
        </w:rPr>
        <w:t>Figure S11.</w:t>
      </w:r>
      <w:r>
        <w:rPr>
          <w:rFonts w:ascii="Times New Roman" w:eastAsia="Times New Roman" w:hAnsi="Times New Roman" w:cs="Times New Roman"/>
        </w:rPr>
        <w:t xml:space="preserve"> </w:t>
      </w:r>
      <w:r>
        <w:rPr>
          <w:rFonts w:ascii="Times New Roman" w:eastAsia="Times New Roman" w:hAnsi="Times New Roman" w:cs="Times New Roman"/>
          <w:b/>
        </w:rPr>
        <w:t xml:space="preserve">Attention and Eye Movement Training: </w:t>
      </w:r>
      <w:r w:rsidR="00AF2B34">
        <w:rPr>
          <w:rFonts w:ascii="Times New Roman" w:eastAsia="Times New Roman" w:hAnsi="Times New Roman" w:cs="Times New Roman"/>
        </w:rPr>
        <w:t xml:space="preserve">Trial structure where participants </w:t>
      </w:r>
      <w:r>
        <w:rPr>
          <w:rFonts w:ascii="Times New Roman" w:eastAsia="Times New Roman" w:hAnsi="Times New Roman" w:cs="Times New Roman"/>
        </w:rPr>
        <w:t xml:space="preserve">make an eye movement to a random target location on the screen and hold fixation until the target (O) stops flickering. Half of the trials presented an exogenous cue (top panel) which was a white circle that flashed briefly for 50ms and transformed into a white dot on the screen. The other half of the trials presented an endogenous cue (bottom panel) indicated by a white arrow pointing to the direction of the target location, where a low contrast dot appeared and increased in contrast until the participant directed their PRL (in this case left of the scotoma) to the white dot. After fixating on the white dot within the PRL for 650 ms, a white O appeared and started flickering, and the participant was asked to maintain fixation on the O until the flickering stopped. </w:t>
      </w:r>
    </w:p>
    <w:p w14:paraId="54C3531D" w14:textId="77777777" w:rsidR="00321B55" w:rsidRDefault="00000000">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References</w:t>
      </w:r>
    </w:p>
    <w:p w14:paraId="6458609A" w14:textId="77777777" w:rsidR="00321B55" w:rsidRDefault="00321B55">
      <w:pPr>
        <w:widowControl w:val="0"/>
        <w:pBdr>
          <w:top w:val="nil"/>
          <w:left w:val="nil"/>
          <w:bottom w:val="nil"/>
          <w:right w:val="nil"/>
          <w:between w:val="nil"/>
        </w:pBdr>
        <w:spacing w:after="110"/>
        <w:rPr>
          <w:color w:val="000000"/>
        </w:rPr>
      </w:pPr>
    </w:p>
    <w:p w14:paraId="2D7EED1B" w14:textId="77777777" w:rsidR="00321B55" w:rsidRDefault="00321B55">
      <w:pPr>
        <w:widowControl w:val="0"/>
        <w:pBdr>
          <w:top w:val="nil"/>
          <w:left w:val="nil"/>
          <w:bottom w:val="nil"/>
          <w:right w:val="nil"/>
          <w:between w:val="nil"/>
        </w:pBdr>
        <w:spacing w:after="200"/>
        <w:rPr>
          <w:color w:val="000000"/>
        </w:rPr>
      </w:pPr>
      <w:hyperlink r:id="rId33">
        <w:r>
          <w:rPr>
            <w:color w:val="000000"/>
          </w:rPr>
          <w:t>Bibliography</w:t>
        </w:r>
      </w:hyperlink>
    </w:p>
    <w:p w14:paraId="795AF3A1" w14:textId="77777777" w:rsidR="00321B55" w:rsidRDefault="00321B55">
      <w:pPr>
        <w:widowControl w:val="0"/>
        <w:pBdr>
          <w:top w:val="nil"/>
          <w:left w:val="nil"/>
          <w:bottom w:val="nil"/>
          <w:right w:val="nil"/>
          <w:between w:val="nil"/>
        </w:pBdr>
        <w:spacing w:line="240" w:lineRule="auto"/>
        <w:ind w:left="438" w:hanging="438"/>
        <w:rPr>
          <w:color w:val="000000"/>
        </w:rPr>
      </w:pPr>
      <w:hyperlink r:id="rId34">
        <w:r>
          <w:rPr>
            <w:color w:val="000000"/>
          </w:rPr>
          <w:t>1.</w:t>
        </w:r>
        <w:r>
          <w:rPr>
            <w:color w:val="000000"/>
          </w:rPr>
          <w:tab/>
          <w:t>Jayakumar, S. Developing Robust Methods and Tools for Advancing Perceptual Learning Research. https://www.proquest.com/docview/3083198564?pq-origsite=gscholar&amp;fromopenview=true&amp;sourcetype=Dissertations%20&amp;%20Theses (2024).</w:t>
        </w:r>
      </w:hyperlink>
    </w:p>
    <w:p w14:paraId="31416AFD" w14:textId="77777777" w:rsidR="00321B55" w:rsidRDefault="00321B55">
      <w:pPr>
        <w:widowControl w:val="0"/>
        <w:pBdr>
          <w:top w:val="nil"/>
          <w:left w:val="nil"/>
          <w:bottom w:val="nil"/>
          <w:right w:val="nil"/>
          <w:between w:val="nil"/>
        </w:pBdr>
        <w:spacing w:line="240" w:lineRule="auto"/>
        <w:ind w:left="438" w:hanging="438"/>
        <w:rPr>
          <w:color w:val="000000"/>
        </w:rPr>
      </w:pPr>
      <w:hyperlink r:id="rId35">
        <w:r>
          <w:rPr>
            <w:color w:val="000000"/>
          </w:rPr>
          <w:t>2.</w:t>
        </w:r>
        <w:r>
          <w:rPr>
            <w:color w:val="000000"/>
          </w:rPr>
          <w:tab/>
          <w:t xml:space="preserve">Nothdurft, H. C. Texture segmentation and pop-out from orientation contrast. </w:t>
        </w:r>
      </w:hyperlink>
      <w:hyperlink r:id="rId36">
        <w:r>
          <w:rPr>
            <w:i/>
            <w:color w:val="000000"/>
          </w:rPr>
          <w:t>Vision Res.</w:t>
        </w:r>
      </w:hyperlink>
      <w:hyperlink r:id="rId37">
        <w:r>
          <w:rPr>
            <w:color w:val="000000"/>
          </w:rPr>
          <w:t xml:space="preserve"> </w:t>
        </w:r>
      </w:hyperlink>
      <w:hyperlink r:id="rId38">
        <w:r>
          <w:rPr>
            <w:b/>
            <w:color w:val="000000"/>
          </w:rPr>
          <w:t>31</w:t>
        </w:r>
      </w:hyperlink>
      <w:hyperlink r:id="rId39">
        <w:r>
          <w:rPr>
            <w:color w:val="000000"/>
          </w:rPr>
          <w:t>, 1073–1078 (1991).</w:t>
        </w:r>
      </w:hyperlink>
    </w:p>
    <w:p w14:paraId="35B23D5C" w14:textId="77777777" w:rsidR="00321B55" w:rsidRDefault="00321B55">
      <w:pPr>
        <w:widowControl w:val="0"/>
        <w:pBdr>
          <w:top w:val="nil"/>
          <w:left w:val="nil"/>
          <w:bottom w:val="nil"/>
          <w:right w:val="nil"/>
          <w:between w:val="nil"/>
        </w:pBdr>
        <w:spacing w:line="240" w:lineRule="auto"/>
        <w:ind w:left="438" w:hanging="438"/>
        <w:rPr>
          <w:color w:val="000000"/>
        </w:rPr>
      </w:pPr>
      <w:hyperlink r:id="rId40">
        <w:r>
          <w:rPr>
            <w:color w:val="000000"/>
          </w:rPr>
          <w:t>3.</w:t>
        </w:r>
        <w:r>
          <w:rPr>
            <w:color w:val="000000"/>
          </w:rPr>
          <w:tab/>
          <w:t xml:space="preserve">Field, D. J., Hayes, A. &amp; Hess, R. F. Contour integration by the human visual system: evidence for a local “association field”. </w:t>
        </w:r>
      </w:hyperlink>
      <w:hyperlink r:id="rId41">
        <w:r>
          <w:rPr>
            <w:i/>
            <w:color w:val="000000"/>
          </w:rPr>
          <w:t>Vision Res.</w:t>
        </w:r>
      </w:hyperlink>
      <w:hyperlink r:id="rId42">
        <w:r>
          <w:rPr>
            <w:color w:val="000000"/>
          </w:rPr>
          <w:t xml:space="preserve"> </w:t>
        </w:r>
      </w:hyperlink>
      <w:hyperlink r:id="rId43">
        <w:r>
          <w:rPr>
            <w:b/>
            <w:color w:val="000000"/>
          </w:rPr>
          <w:t>33</w:t>
        </w:r>
      </w:hyperlink>
      <w:hyperlink r:id="rId44">
        <w:r>
          <w:rPr>
            <w:color w:val="000000"/>
          </w:rPr>
          <w:t>, 173–193 (1993).</w:t>
        </w:r>
      </w:hyperlink>
    </w:p>
    <w:p w14:paraId="11E8B6E9" w14:textId="77777777" w:rsidR="00321B55" w:rsidRDefault="00321B55">
      <w:pPr>
        <w:widowControl w:val="0"/>
        <w:pBdr>
          <w:top w:val="nil"/>
          <w:left w:val="nil"/>
          <w:bottom w:val="nil"/>
          <w:right w:val="nil"/>
          <w:between w:val="nil"/>
        </w:pBdr>
        <w:spacing w:line="240" w:lineRule="auto"/>
        <w:ind w:left="438" w:hanging="438"/>
        <w:rPr>
          <w:color w:val="000000"/>
        </w:rPr>
      </w:pPr>
      <w:hyperlink r:id="rId45">
        <w:r>
          <w:rPr>
            <w:color w:val="000000"/>
          </w:rPr>
          <w:t>4.</w:t>
        </w:r>
        <w:r>
          <w:rPr>
            <w:color w:val="000000"/>
          </w:rPr>
          <w:tab/>
          <w:t xml:space="preserve">Kwon, M., Nandy, A. S. &amp; Tjan, B. S. Rapid and persistent adaptability of human oculomotor control in response to simulated central vision loss. </w:t>
        </w:r>
      </w:hyperlink>
      <w:hyperlink r:id="rId46">
        <w:r>
          <w:rPr>
            <w:i/>
            <w:color w:val="000000"/>
          </w:rPr>
          <w:t>Curr. Biol.</w:t>
        </w:r>
      </w:hyperlink>
      <w:hyperlink r:id="rId47">
        <w:r>
          <w:rPr>
            <w:color w:val="000000"/>
          </w:rPr>
          <w:t xml:space="preserve"> </w:t>
        </w:r>
      </w:hyperlink>
      <w:hyperlink r:id="rId48">
        <w:r>
          <w:rPr>
            <w:b/>
            <w:color w:val="000000"/>
          </w:rPr>
          <w:t>23</w:t>
        </w:r>
      </w:hyperlink>
      <w:hyperlink r:id="rId49">
        <w:r>
          <w:rPr>
            <w:color w:val="000000"/>
          </w:rPr>
          <w:t>, 1663–1669 (2013).</w:t>
        </w:r>
      </w:hyperlink>
    </w:p>
    <w:p w14:paraId="27BDBCDF" w14:textId="77777777" w:rsidR="00321B55" w:rsidRDefault="00321B55">
      <w:pPr>
        <w:widowControl w:val="0"/>
        <w:pBdr>
          <w:top w:val="nil"/>
          <w:left w:val="nil"/>
          <w:bottom w:val="nil"/>
          <w:right w:val="nil"/>
          <w:between w:val="nil"/>
        </w:pBdr>
        <w:spacing w:line="240" w:lineRule="auto"/>
        <w:ind w:left="438" w:hanging="438"/>
        <w:rPr>
          <w:color w:val="000000"/>
        </w:rPr>
      </w:pPr>
      <w:hyperlink r:id="rId50">
        <w:r>
          <w:rPr>
            <w:color w:val="000000"/>
          </w:rPr>
          <w:t>5.</w:t>
        </w:r>
        <w:r>
          <w:rPr>
            <w:color w:val="000000"/>
          </w:rPr>
          <w:tab/>
          <w:t xml:space="preserve">Greenlee, M., Malania, M., Traurig, M. &amp; Plank, T. Effect of perceptual training on neural correlates of radial-tangential anisotropy in visual crowding. </w:t>
        </w:r>
      </w:hyperlink>
      <w:hyperlink r:id="rId51">
        <w:r>
          <w:rPr>
            <w:i/>
            <w:color w:val="000000"/>
          </w:rPr>
          <w:t>J. Vis.</w:t>
        </w:r>
      </w:hyperlink>
      <w:hyperlink r:id="rId52">
        <w:r>
          <w:rPr>
            <w:color w:val="000000"/>
          </w:rPr>
          <w:t xml:space="preserve"> </w:t>
        </w:r>
      </w:hyperlink>
      <w:hyperlink r:id="rId53">
        <w:r>
          <w:rPr>
            <w:b/>
            <w:color w:val="000000"/>
          </w:rPr>
          <w:t>18</w:t>
        </w:r>
      </w:hyperlink>
      <w:hyperlink r:id="rId54">
        <w:r>
          <w:rPr>
            <w:color w:val="000000"/>
          </w:rPr>
          <w:t>, 757 (2018).</w:t>
        </w:r>
      </w:hyperlink>
    </w:p>
    <w:p w14:paraId="350381A4" w14:textId="77777777" w:rsidR="00321B55" w:rsidRDefault="00321B55">
      <w:pPr>
        <w:widowControl w:val="0"/>
        <w:pBdr>
          <w:top w:val="nil"/>
          <w:left w:val="nil"/>
          <w:bottom w:val="nil"/>
          <w:right w:val="nil"/>
          <w:between w:val="nil"/>
        </w:pBdr>
        <w:spacing w:line="240" w:lineRule="auto"/>
        <w:ind w:left="438" w:hanging="438"/>
        <w:rPr>
          <w:color w:val="000000"/>
        </w:rPr>
      </w:pPr>
      <w:hyperlink r:id="rId55">
        <w:r>
          <w:rPr>
            <w:color w:val="000000"/>
          </w:rPr>
          <w:t>6.</w:t>
        </w:r>
        <w:r>
          <w:rPr>
            <w:color w:val="000000"/>
          </w:rPr>
          <w:tab/>
          <w:t xml:space="preserve">Chambers, L. &amp; Wolford, G. Lateral masking vertically and horizontally. </w:t>
        </w:r>
      </w:hyperlink>
      <w:hyperlink r:id="rId56">
        <w:r>
          <w:rPr>
            <w:i/>
            <w:color w:val="000000"/>
          </w:rPr>
          <w:t>Bull. Psychon. Soc.</w:t>
        </w:r>
      </w:hyperlink>
      <w:hyperlink r:id="rId57">
        <w:r>
          <w:rPr>
            <w:color w:val="000000"/>
          </w:rPr>
          <w:t xml:space="preserve"> </w:t>
        </w:r>
      </w:hyperlink>
      <w:hyperlink r:id="rId58">
        <w:r>
          <w:rPr>
            <w:b/>
            <w:color w:val="000000"/>
          </w:rPr>
          <w:t>21</w:t>
        </w:r>
      </w:hyperlink>
      <w:hyperlink r:id="rId59">
        <w:r>
          <w:rPr>
            <w:color w:val="000000"/>
          </w:rPr>
          <w:t>, 459–461 (1983).</w:t>
        </w:r>
      </w:hyperlink>
    </w:p>
    <w:p w14:paraId="6291471E" w14:textId="77777777" w:rsidR="00321B55" w:rsidRDefault="00321B55">
      <w:pPr>
        <w:widowControl w:val="0"/>
        <w:pBdr>
          <w:top w:val="nil"/>
          <w:left w:val="nil"/>
          <w:bottom w:val="nil"/>
          <w:right w:val="nil"/>
          <w:between w:val="nil"/>
        </w:pBdr>
        <w:spacing w:line="240" w:lineRule="auto"/>
        <w:ind w:left="438" w:hanging="438"/>
        <w:rPr>
          <w:color w:val="000000"/>
        </w:rPr>
      </w:pPr>
      <w:hyperlink r:id="rId60">
        <w:r>
          <w:rPr>
            <w:color w:val="000000"/>
          </w:rPr>
          <w:t>7.</w:t>
        </w:r>
        <w:r>
          <w:rPr>
            <w:color w:val="000000"/>
          </w:rPr>
          <w:tab/>
          <w:t xml:space="preserve">Toet, A. &amp; Levi, D. M. The two-dimensional shape of spatial interaction zones in the </w:t>
        </w:r>
        <w:r>
          <w:rPr>
            <w:color w:val="000000"/>
          </w:rPr>
          <w:lastRenderedPageBreak/>
          <w:t xml:space="preserve">parafovea. </w:t>
        </w:r>
      </w:hyperlink>
      <w:hyperlink r:id="rId61">
        <w:r>
          <w:rPr>
            <w:i/>
            <w:color w:val="000000"/>
          </w:rPr>
          <w:t>Vision Res.</w:t>
        </w:r>
      </w:hyperlink>
      <w:hyperlink r:id="rId62">
        <w:r>
          <w:rPr>
            <w:color w:val="000000"/>
          </w:rPr>
          <w:t xml:space="preserve"> </w:t>
        </w:r>
      </w:hyperlink>
      <w:hyperlink r:id="rId63">
        <w:r>
          <w:rPr>
            <w:b/>
            <w:color w:val="000000"/>
          </w:rPr>
          <w:t>32</w:t>
        </w:r>
      </w:hyperlink>
      <w:hyperlink r:id="rId64">
        <w:r>
          <w:rPr>
            <w:color w:val="000000"/>
          </w:rPr>
          <w:t>, 1349–1357 (1992).</w:t>
        </w:r>
      </w:hyperlink>
    </w:p>
    <w:p w14:paraId="7A62423B" w14:textId="77777777" w:rsidR="00321B55" w:rsidRDefault="00321B55">
      <w:pPr>
        <w:widowControl w:val="0"/>
        <w:pBdr>
          <w:top w:val="nil"/>
          <w:left w:val="nil"/>
          <w:bottom w:val="nil"/>
          <w:right w:val="nil"/>
          <w:between w:val="nil"/>
        </w:pBdr>
        <w:spacing w:line="240" w:lineRule="auto"/>
        <w:ind w:left="438" w:hanging="438"/>
        <w:rPr>
          <w:color w:val="000000"/>
        </w:rPr>
      </w:pPr>
      <w:hyperlink r:id="rId65">
        <w:r>
          <w:rPr>
            <w:color w:val="000000"/>
          </w:rPr>
          <w:t>8.</w:t>
        </w:r>
        <w:r>
          <w:rPr>
            <w:color w:val="000000"/>
          </w:rPr>
          <w:tab/>
          <w:t xml:space="preserve">Legge, G. E., Ross, J. A., Luebker, A. &amp; LaMay, J. M. Psychophysics of reading. VIII. The Minnesota Low-Vision Reading Test. </w:t>
        </w:r>
      </w:hyperlink>
      <w:hyperlink r:id="rId66">
        <w:r>
          <w:rPr>
            <w:i/>
            <w:color w:val="000000"/>
          </w:rPr>
          <w:t>Optom. Vis. Sci.</w:t>
        </w:r>
      </w:hyperlink>
      <w:hyperlink r:id="rId67">
        <w:r>
          <w:rPr>
            <w:color w:val="000000"/>
          </w:rPr>
          <w:t xml:space="preserve"> </w:t>
        </w:r>
      </w:hyperlink>
      <w:hyperlink r:id="rId68">
        <w:r>
          <w:rPr>
            <w:b/>
            <w:color w:val="000000"/>
          </w:rPr>
          <w:t>66</w:t>
        </w:r>
      </w:hyperlink>
      <w:hyperlink r:id="rId69">
        <w:r>
          <w:rPr>
            <w:color w:val="000000"/>
          </w:rPr>
          <w:t>, 843–853 (1989).</w:t>
        </w:r>
      </w:hyperlink>
    </w:p>
    <w:p w14:paraId="2693C6B3" w14:textId="77777777" w:rsidR="00321B55" w:rsidRDefault="00321B55">
      <w:pPr>
        <w:widowControl w:val="0"/>
        <w:pBdr>
          <w:top w:val="nil"/>
          <w:left w:val="nil"/>
          <w:bottom w:val="nil"/>
          <w:right w:val="nil"/>
          <w:between w:val="nil"/>
        </w:pBdr>
        <w:spacing w:line="240" w:lineRule="auto"/>
        <w:ind w:left="438" w:hanging="438"/>
        <w:rPr>
          <w:color w:val="000000"/>
        </w:rPr>
      </w:pPr>
      <w:hyperlink r:id="rId70">
        <w:r>
          <w:rPr>
            <w:color w:val="000000"/>
          </w:rPr>
          <w:t>9.</w:t>
        </w:r>
        <w:r>
          <w:rPr>
            <w:color w:val="000000"/>
          </w:rPr>
          <w:tab/>
          <w:t xml:space="preserve">Maniglia, M., Visscher, K. M. &amp; Seitz, A. R. Oculomotor strategy classification in simulated central vision loss. </w:t>
        </w:r>
      </w:hyperlink>
      <w:hyperlink r:id="rId71">
        <w:r>
          <w:rPr>
            <w:i/>
            <w:color w:val="000000"/>
          </w:rPr>
          <w:t>J. Vis.</w:t>
        </w:r>
      </w:hyperlink>
      <w:hyperlink r:id="rId72">
        <w:r>
          <w:rPr>
            <w:color w:val="000000"/>
          </w:rPr>
          <w:t xml:space="preserve"> </w:t>
        </w:r>
      </w:hyperlink>
      <w:hyperlink r:id="rId73">
        <w:r>
          <w:rPr>
            <w:b/>
            <w:color w:val="000000"/>
          </w:rPr>
          <w:t>19</w:t>
        </w:r>
      </w:hyperlink>
      <w:hyperlink r:id="rId74">
        <w:r>
          <w:rPr>
            <w:color w:val="000000"/>
          </w:rPr>
          <w:t>, 145c (2019).</w:t>
        </w:r>
      </w:hyperlink>
    </w:p>
    <w:p w14:paraId="0E3A7ED9" w14:textId="77777777" w:rsidR="00321B55" w:rsidRDefault="00321B55">
      <w:pPr>
        <w:widowControl w:val="0"/>
        <w:pBdr>
          <w:top w:val="nil"/>
          <w:left w:val="nil"/>
          <w:bottom w:val="nil"/>
          <w:right w:val="nil"/>
          <w:between w:val="nil"/>
        </w:pBdr>
        <w:spacing w:line="240" w:lineRule="auto"/>
        <w:ind w:left="438" w:hanging="438"/>
        <w:rPr>
          <w:color w:val="000000"/>
        </w:rPr>
      </w:pPr>
      <w:hyperlink r:id="rId75">
        <w:r>
          <w:rPr>
            <w:color w:val="000000"/>
          </w:rPr>
          <w:t>10.</w:t>
        </w:r>
        <w:r>
          <w:rPr>
            <w:color w:val="000000"/>
          </w:rPr>
          <w:tab/>
          <w:t xml:space="preserve">Tombaugh, T. Trail Making Test A and B: Normative data stratified by age and education. </w:t>
        </w:r>
      </w:hyperlink>
      <w:hyperlink r:id="rId76">
        <w:r>
          <w:rPr>
            <w:i/>
            <w:color w:val="000000"/>
          </w:rPr>
          <w:t>Arch. Clin. Neuropsychol.</w:t>
        </w:r>
      </w:hyperlink>
      <w:hyperlink r:id="rId77">
        <w:r>
          <w:rPr>
            <w:color w:val="000000"/>
          </w:rPr>
          <w:t xml:space="preserve"> </w:t>
        </w:r>
      </w:hyperlink>
      <w:hyperlink r:id="rId78">
        <w:r>
          <w:rPr>
            <w:b/>
            <w:color w:val="000000"/>
          </w:rPr>
          <w:t>19</w:t>
        </w:r>
      </w:hyperlink>
      <w:hyperlink r:id="rId79">
        <w:r>
          <w:rPr>
            <w:color w:val="000000"/>
          </w:rPr>
          <w:t>, 203–214 (2004).</w:t>
        </w:r>
      </w:hyperlink>
    </w:p>
    <w:p w14:paraId="7520F8AF" w14:textId="77777777" w:rsidR="00321B55" w:rsidRDefault="00321B55">
      <w:pPr>
        <w:widowControl w:val="0"/>
        <w:pBdr>
          <w:top w:val="nil"/>
          <w:left w:val="nil"/>
          <w:bottom w:val="nil"/>
          <w:right w:val="nil"/>
          <w:between w:val="nil"/>
        </w:pBdr>
        <w:spacing w:line="240" w:lineRule="auto"/>
        <w:ind w:left="438" w:hanging="438"/>
        <w:rPr>
          <w:color w:val="000000"/>
        </w:rPr>
      </w:pPr>
      <w:hyperlink r:id="rId80">
        <w:r>
          <w:rPr>
            <w:color w:val="000000"/>
          </w:rPr>
          <w:t>11.</w:t>
        </w:r>
        <w:r>
          <w:rPr>
            <w:color w:val="000000"/>
          </w:rPr>
          <w:tab/>
          <w:t xml:space="preserve">Müller, H. J. &amp; Rabbitt, P. M. Reflexive and voluntary orienting of visual attention: time course of activation and resistance to interruption. </w:t>
        </w:r>
      </w:hyperlink>
      <w:hyperlink r:id="rId81">
        <w:r>
          <w:rPr>
            <w:i/>
            <w:color w:val="000000"/>
          </w:rPr>
          <w:t>J. Exp. Psychol. Hum. Percept. Perform.</w:t>
        </w:r>
      </w:hyperlink>
      <w:hyperlink r:id="rId82">
        <w:r>
          <w:rPr>
            <w:color w:val="000000"/>
          </w:rPr>
          <w:t xml:space="preserve"> </w:t>
        </w:r>
      </w:hyperlink>
      <w:hyperlink r:id="rId83">
        <w:r>
          <w:rPr>
            <w:b/>
            <w:color w:val="000000"/>
          </w:rPr>
          <w:t>15</w:t>
        </w:r>
      </w:hyperlink>
      <w:hyperlink r:id="rId84">
        <w:r>
          <w:rPr>
            <w:color w:val="000000"/>
          </w:rPr>
          <w:t>, 315–330 (1989).</w:t>
        </w:r>
      </w:hyperlink>
    </w:p>
    <w:p w14:paraId="0CF15813" w14:textId="77777777" w:rsidR="00321B55" w:rsidRDefault="00321B55">
      <w:pPr>
        <w:widowControl w:val="0"/>
        <w:pBdr>
          <w:top w:val="nil"/>
          <w:left w:val="nil"/>
          <w:bottom w:val="nil"/>
          <w:right w:val="nil"/>
          <w:between w:val="nil"/>
        </w:pBdr>
        <w:spacing w:line="240" w:lineRule="auto"/>
        <w:ind w:left="438" w:hanging="438"/>
        <w:rPr>
          <w:color w:val="000000"/>
        </w:rPr>
      </w:pPr>
      <w:hyperlink r:id="rId85">
        <w:r>
          <w:rPr>
            <w:color w:val="000000"/>
          </w:rPr>
          <w:t>12.</w:t>
        </w:r>
        <w:r>
          <w:rPr>
            <w:color w:val="000000"/>
          </w:rPr>
          <w:tab/>
          <w:t xml:space="preserve">Nakayama, K. &amp; Mackeben, M. Sustained and transient components of focal visual attention. </w:t>
        </w:r>
      </w:hyperlink>
      <w:hyperlink r:id="rId86">
        <w:r>
          <w:rPr>
            <w:i/>
            <w:color w:val="000000"/>
          </w:rPr>
          <w:t>Vision Res.</w:t>
        </w:r>
      </w:hyperlink>
      <w:hyperlink r:id="rId87">
        <w:r>
          <w:rPr>
            <w:color w:val="000000"/>
          </w:rPr>
          <w:t xml:space="preserve"> </w:t>
        </w:r>
      </w:hyperlink>
      <w:hyperlink r:id="rId88">
        <w:r>
          <w:rPr>
            <w:b/>
            <w:color w:val="000000"/>
          </w:rPr>
          <w:t>29</w:t>
        </w:r>
      </w:hyperlink>
      <w:hyperlink r:id="rId89">
        <w:r>
          <w:rPr>
            <w:color w:val="000000"/>
          </w:rPr>
          <w:t>, 1631–1647 (1989).</w:t>
        </w:r>
      </w:hyperlink>
    </w:p>
    <w:p w14:paraId="21CC862E" w14:textId="77777777" w:rsidR="00321B55" w:rsidRDefault="00321B55">
      <w:pPr>
        <w:widowControl w:val="0"/>
        <w:pBdr>
          <w:top w:val="nil"/>
          <w:left w:val="nil"/>
          <w:bottom w:val="nil"/>
          <w:right w:val="nil"/>
          <w:between w:val="nil"/>
        </w:pBdr>
        <w:spacing w:line="240" w:lineRule="auto"/>
        <w:ind w:left="438" w:hanging="438"/>
        <w:rPr>
          <w:color w:val="000000"/>
        </w:rPr>
      </w:pPr>
      <w:hyperlink r:id="rId90">
        <w:r>
          <w:rPr>
            <w:color w:val="000000"/>
          </w:rPr>
          <w:t>13.</w:t>
        </w:r>
        <w:r>
          <w:rPr>
            <w:color w:val="000000"/>
          </w:rPr>
          <w:tab/>
          <w:t xml:space="preserve">Boynton, G. M., Demb, J. B., Glover, G. H. &amp; Heeger, D. J. Neuronal basis of contrast discrimination. </w:t>
        </w:r>
      </w:hyperlink>
      <w:hyperlink r:id="rId91">
        <w:r>
          <w:rPr>
            <w:i/>
            <w:color w:val="000000"/>
          </w:rPr>
          <w:t>Vision Res.</w:t>
        </w:r>
      </w:hyperlink>
      <w:hyperlink r:id="rId92">
        <w:r>
          <w:rPr>
            <w:color w:val="000000"/>
          </w:rPr>
          <w:t xml:space="preserve"> </w:t>
        </w:r>
      </w:hyperlink>
      <w:hyperlink r:id="rId93">
        <w:r>
          <w:rPr>
            <w:b/>
            <w:color w:val="000000"/>
          </w:rPr>
          <w:t>39</w:t>
        </w:r>
      </w:hyperlink>
      <w:hyperlink r:id="rId94">
        <w:r>
          <w:rPr>
            <w:color w:val="000000"/>
          </w:rPr>
          <w:t>, 257–269 (1999).</w:t>
        </w:r>
      </w:hyperlink>
    </w:p>
    <w:p w14:paraId="3E444BCF" w14:textId="77777777" w:rsidR="00321B55" w:rsidRDefault="00321B55">
      <w:pPr>
        <w:widowControl w:val="0"/>
        <w:pBdr>
          <w:top w:val="nil"/>
          <w:left w:val="nil"/>
          <w:bottom w:val="nil"/>
          <w:right w:val="nil"/>
          <w:between w:val="nil"/>
        </w:pBdr>
        <w:spacing w:line="240" w:lineRule="auto"/>
        <w:ind w:left="438" w:hanging="438"/>
        <w:rPr>
          <w:color w:val="000000"/>
        </w:rPr>
      </w:pPr>
      <w:hyperlink r:id="rId95">
        <w:r>
          <w:rPr>
            <w:color w:val="000000"/>
          </w:rPr>
          <w:t>14.</w:t>
        </w:r>
        <w:r>
          <w:rPr>
            <w:color w:val="000000"/>
          </w:rPr>
          <w:tab/>
          <w:t xml:space="preserve">Carrasco, M. Visual attention: the past 25 years. </w:t>
        </w:r>
      </w:hyperlink>
      <w:hyperlink r:id="rId96">
        <w:r>
          <w:rPr>
            <w:i/>
            <w:color w:val="000000"/>
          </w:rPr>
          <w:t>Vision Res.</w:t>
        </w:r>
      </w:hyperlink>
      <w:hyperlink r:id="rId97">
        <w:r>
          <w:rPr>
            <w:color w:val="000000"/>
          </w:rPr>
          <w:t xml:space="preserve"> </w:t>
        </w:r>
      </w:hyperlink>
      <w:hyperlink r:id="rId98">
        <w:r>
          <w:rPr>
            <w:b/>
            <w:color w:val="000000"/>
          </w:rPr>
          <w:t>51</w:t>
        </w:r>
      </w:hyperlink>
      <w:hyperlink r:id="rId99">
        <w:r>
          <w:rPr>
            <w:color w:val="000000"/>
          </w:rPr>
          <w:t>, 1484–1525 (2011).</w:t>
        </w:r>
      </w:hyperlink>
    </w:p>
    <w:p w14:paraId="5D1D0769" w14:textId="77777777" w:rsidR="00321B55" w:rsidRDefault="00321B55">
      <w:pPr>
        <w:widowControl w:val="0"/>
        <w:pBdr>
          <w:top w:val="nil"/>
          <w:left w:val="nil"/>
          <w:bottom w:val="nil"/>
          <w:right w:val="nil"/>
          <w:between w:val="nil"/>
        </w:pBdr>
        <w:spacing w:line="240" w:lineRule="auto"/>
        <w:ind w:left="438" w:hanging="438"/>
        <w:rPr>
          <w:color w:val="000000"/>
        </w:rPr>
      </w:pPr>
      <w:hyperlink r:id="rId100">
        <w:r>
          <w:rPr>
            <w:color w:val="000000"/>
          </w:rPr>
          <w:t>15.</w:t>
        </w:r>
        <w:r>
          <w:rPr>
            <w:color w:val="000000"/>
          </w:rPr>
          <w:tab/>
          <w:t xml:space="preserve">Nachmias, J. Effect of Exposure Duration on Visual Contrast Sensitivity with Square-Wave Gratings*†. </w:t>
        </w:r>
      </w:hyperlink>
      <w:hyperlink r:id="rId101">
        <w:r>
          <w:rPr>
            <w:i/>
            <w:color w:val="000000"/>
          </w:rPr>
          <w:t>J. Opt. Soc. Am.</w:t>
        </w:r>
      </w:hyperlink>
      <w:hyperlink r:id="rId102">
        <w:r>
          <w:rPr>
            <w:color w:val="000000"/>
          </w:rPr>
          <w:t xml:space="preserve"> </w:t>
        </w:r>
      </w:hyperlink>
      <w:hyperlink r:id="rId103">
        <w:r>
          <w:rPr>
            <w:b/>
            <w:color w:val="000000"/>
          </w:rPr>
          <w:t>57</w:t>
        </w:r>
      </w:hyperlink>
      <w:hyperlink r:id="rId104">
        <w:r>
          <w:rPr>
            <w:color w:val="000000"/>
          </w:rPr>
          <w:t>, 421 (1967).</w:t>
        </w:r>
      </w:hyperlink>
    </w:p>
    <w:p w14:paraId="3DB21E5D" w14:textId="77777777" w:rsidR="00321B55" w:rsidRDefault="00321B55">
      <w:pPr>
        <w:widowControl w:val="0"/>
        <w:pBdr>
          <w:top w:val="nil"/>
          <w:left w:val="nil"/>
          <w:bottom w:val="nil"/>
          <w:right w:val="nil"/>
          <w:between w:val="nil"/>
        </w:pBdr>
        <w:spacing w:line="240" w:lineRule="auto"/>
        <w:ind w:left="438" w:hanging="438"/>
        <w:rPr>
          <w:color w:val="000000"/>
        </w:rPr>
      </w:pPr>
      <w:hyperlink r:id="rId105">
        <w:r>
          <w:rPr>
            <w:color w:val="000000"/>
          </w:rPr>
          <w:t>16.</w:t>
        </w:r>
        <w:r>
          <w:rPr>
            <w:color w:val="000000"/>
          </w:rPr>
          <w:tab/>
          <w:t xml:space="preserve">Polat, U. </w:t>
        </w:r>
      </w:hyperlink>
      <w:hyperlink r:id="rId106">
        <w:r>
          <w:rPr>
            <w:i/>
            <w:color w:val="000000"/>
          </w:rPr>
          <w:t>et al.</w:t>
        </w:r>
      </w:hyperlink>
      <w:hyperlink r:id="rId107">
        <w:r>
          <w:rPr>
            <w:color w:val="000000"/>
          </w:rPr>
          <w:t xml:space="preserve"> Training the brain to overcome the effect of aging on the human eye. </w:t>
        </w:r>
      </w:hyperlink>
      <w:hyperlink r:id="rId108">
        <w:r>
          <w:rPr>
            <w:i/>
            <w:color w:val="000000"/>
          </w:rPr>
          <w:t>Sci. Rep.</w:t>
        </w:r>
      </w:hyperlink>
      <w:hyperlink r:id="rId109">
        <w:r>
          <w:rPr>
            <w:color w:val="000000"/>
          </w:rPr>
          <w:t xml:space="preserve"> </w:t>
        </w:r>
      </w:hyperlink>
      <w:hyperlink r:id="rId110">
        <w:r>
          <w:rPr>
            <w:b/>
            <w:color w:val="000000"/>
          </w:rPr>
          <w:t>2</w:t>
        </w:r>
      </w:hyperlink>
      <w:hyperlink r:id="rId111">
        <w:r>
          <w:rPr>
            <w:color w:val="000000"/>
          </w:rPr>
          <w:t>, 278 (2012).</w:t>
        </w:r>
      </w:hyperlink>
    </w:p>
    <w:p w14:paraId="754399BE" w14:textId="77777777" w:rsidR="00321B55" w:rsidRDefault="00321B55">
      <w:pPr>
        <w:widowControl w:val="0"/>
        <w:pBdr>
          <w:top w:val="nil"/>
          <w:left w:val="nil"/>
          <w:bottom w:val="nil"/>
          <w:right w:val="nil"/>
          <w:between w:val="nil"/>
        </w:pBdr>
        <w:spacing w:line="240" w:lineRule="auto"/>
        <w:ind w:left="438" w:hanging="438"/>
        <w:rPr>
          <w:color w:val="000000"/>
        </w:rPr>
      </w:pPr>
      <w:hyperlink r:id="rId112">
        <w:r>
          <w:rPr>
            <w:color w:val="000000"/>
          </w:rPr>
          <w:t>17.</w:t>
        </w:r>
        <w:r>
          <w:rPr>
            <w:color w:val="000000"/>
          </w:rPr>
          <w:tab/>
          <w:t xml:space="preserve">Maniglia, M., Cottereau, B. R., Soler, V. &amp; Trotter, Y. Rehabilitation approaches in macular degeneration patients. </w:t>
        </w:r>
      </w:hyperlink>
      <w:hyperlink r:id="rId113">
        <w:r>
          <w:rPr>
            <w:i/>
            <w:color w:val="000000"/>
          </w:rPr>
          <w:t>Front. Syst. Neurosci.</w:t>
        </w:r>
      </w:hyperlink>
      <w:hyperlink r:id="rId114">
        <w:r>
          <w:rPr>
            <w:color w:val="000000"/>
          </w:rPr>
          <w:t xml:space="preserve"> </w:t>
        </w:r>
      </w:hyperlink>
      <w:hyperlink r:id="rId115">
        <w:r>
          <w:rPr>
            <w:b/>
            <w:color w:val="000000"/>
          </w:rPr>
          <w:t>10</w:t>
        </w:r>
      </w:hyperlink>
      <w:hyperlink r:id="rId116">
        <w:r>
          <w:rPr>
            <w:color w:val="000000"/>
          </w:rPr>
          <w:t>, 107 (2016).</w:t>
        </w:r>
      </w:hyperlink>
    </w:p>
    <w:p w14:paraId="3D6E048F" w14:textId="77777777" w:rsidR="00321B55" w:rsidRDefault="00321B55">
      <w:pPr>
        <w:widowControl w:val="0"/>
        <w:pBdr>
          <w:top w:val="nil"/>
          <w:left w:val="nil"/>
          <w:bottom w:val="nil"/>
          <w:right w:val="nil"/>
          <w:between w:val="nil"/>
        </w:pBdr>
        <w:spacing w:line="240" w:lineRule="auto"/>
        <w:ind w:left="438" w:hanging="438"/>
        <w:rPr>
          <w:color w:val="000000"/>
        </w:rPr>
      </w:pPr>
      <w:hyperlink r:id="rId117">
        <w:r>
          <w:rPr>
            <w:color w:val="000000"/>
          </w:rPr>
          <w:t>18.</w:t>
        </w:r>
        <w:r>
          <w:rPr>
            <w:color w:val="000000"/>
          </w:rPr>
          <w:tab/>
          <w:t xml:space="preserve">Deveau, J. &amp; Seitz, A. R. Applying perceptual learning to achieve practical changes in vision. </w:t>
        </w:r>
      </w:hyperlink>
      <w:hyperlink r:id="rId118">
        <w:r>
          <w:rPr>
            <w:i/>
            <w:color w:val="000000"/>
          </w:rPr>
          <w:t>Front. Psychol.</w:t>
        </w:r>
      </w:hyperlink>
      <w:hyperlink r:id="rId119">
        <w:r>
          <w:rPr>
            <w:color w:val="000000"/>
          </w:rPr>
          <w:t xml:space="preserve"> </w:t>
        </w:r>
      </w:hyperlink>
      <w:hyperlink r:id="rId120">
        <w:r>
          <w:rPr>
            <w:b/>
            <w:color w:val="000000"/>
          </w:rPr>
          <w:t>5</w:t>
        </w:r>
      </w:hyperlink>
      <w:hyperlink r:id="rId121">
        <w:r>
          <w:rPr>
            <w:color w:val="000000"/>
          </w:rPr>
          <w:t>, 1166 (2014).</w:t>
        </w:r>
      </w:hyperlink>
    </w:p>
    <w:p w14:paraId="40B1C96D" w14:textId="77777777" w:rsidR="00321B55" w:rsidRDefault="00321B55">
      <w:pPr>
        <w:widowControl w:val="0"/>
        <w:pBdr>
          <w:top w:val="nil"/>
          <w:left w:val="nil"/>
          <w:bottom w:val="nil"/>
          <w:right w:val="nil"/>
          <w:between w:val="nil"/>
        </w:pBdr>
        <w:spacing w:line="240" w:lineRule="auto"/>
        <w:ind w:left="438" w:hanging="438"/>
        <w:rPr>
          <w:color w:val="000000"/>
        </w:rPr>
      </w:pPr>
      <w:hyperlink r:id="rId122">
        <w:r>
          <w:rPr>
            <w:color w:val="000000"/>
          </w:rPr>
          <w:t>19.</w:t>
        </w:r>
        <w:r>
          <w:rPr>
            <w:color w:val="000000"/>
          </w:rPr>
          <w:tab/>
          <w:t xml:space="preserve">Deveau, J., Lovcik, G. &amp; Seitz, A. R. Broad-based visual benefits from training with an integrated perceptual-learning video game. </w:t>
        </w:r>
      </w:hyperlink>
      <w:hyperlink r:id="rId123">
        <w:r>
          <w:rPr>
            <w:i/>
            <w:color w:val="000000"/>
          </w:rPr>
          <w:t>Vision Res.</w:t>
        </w:r>
      </w:hyperlink>
      <w:hyperlink r:id="rId124">
        <w:r>
          <w:rPr>
            <w:color w:val="000000"/>
          </w:rPr>
          <w:t xml:space="preserve"> </w:t>
        </w:r>
      </w:hyperlink>
      <w:hyperlink r:id="rId125">
        <w:r>
          <w:rPr>
            <w:b/>
            <w:color w:val="000000"/>
          </w:rPr>
          <w:t>99</w:t>
        </w:r>
      </w:hyperlink>
      <w:hyperlink r:id="rId126">
        <w:r>
          <w:rPr>
            <w:color w:val="000000"/>
          </w:rPr>
          <w:t>, 134–140 (2014).</w:t>
        </w:r>
      </w:hyperlink>
    </w:p>
    <w:p w14:paraId="7F892E84" w14:textId="77777777" w:rsidR="00321B55" w:rsidRDefault="00321B55">
      <w:pPr>
        <w:widowControl w:val="0"/>
        <w:pBdr>
          <w:top w:val="nil"/>
          <w:left w:val="nil"/>
          <w:bottom w:val="nil"/>
          <w:right w:val="nil"/>
          <w:between w:val="nil"/>
        </w:pBdr>
        <w:spacing w:line="240" w:lineRule="auto"/>
        <w:ind w:left="438" w:hanging="438"/>
        <w:rPr>
          <w:color w:val="000000"/>
        </w:rPr>
      </w:pPr>
      <w:hyperlink r:id="rId127">
        <w:r>
          <w:rPr>
            <w:color w:val="000000"/>
          </w:rPr>
          <w:t>20.</w:t>
        </w:r>
        <w:r>
          <w:rPr>
            <w:color w:val="000000"/>
          </w:rPr>
          <w:tab/>
          <w:t xml:space="preserve">Camilleri, R., Pavan, A., Ghin, F., Battaglini, L. &amp; Campana, G. Improvement of uncorrected visual acuity and contrast sensitivity with perceptual learning and transcranial random noise stimulation in individuals with mild myopia. </w:t>
        </w:r>
      </w:hyperlink>
      <w:hyperlink r:id="rId128">
        <w:r>
          <w:rPr>
            <w:i/>
            <w:color w:val="000000"/>
          </w:rPr>
          <w:t>Front. Psychol.</w:t>
        </w:r>
      </w:hyperlink>
      <w:hyperlink r:id="rId129">
        <w:r>
          <w:rPr>
            <w:color w:val="000000"/>
          </w:rPr>
          <w:t xml:space="preserve"> </w:t>
        </w:r>
      </w:hyperlink>
      <w:hyperlink r:id="rId130">
        <w:r>
          <w:rPr>
            <w:b/>
            <w:color w:val="000000"/>
          </w:rPr>
          <w:t>5</w:t>
        </w:r>
      </w:hyperlink>
      <w:hyperlink r:id="rId131">
        <w:r>
          <w:rPr>
            <w:color w:val="000000"/>
          </w:rPr>
          <w:t>, 1234 (2014).</w:t>
        </w:r>
      </w:hyperlink>
    </w:p>
    <w:p w14:paraId="4CCA6893" w14:textId="77777777" w:rsidR="00321B55" w:rsidRDefault="00321B55">
      <w:pPr>
        <w:widowControl w:val="0"/>
        <w:pBdr>
          <w:top w:val="nil"/>
          <w:left w:val="nil"/>
          <w:bottom w:val="nil"/>
          <w:right w:val="nil"/>
          <w:between w:val="nil"/>
        </w:pBdr>
        <w:spacing w:line="240" w:lineRule="auto"/>
        <w:ind w:left="438" w:hanging="438"/>
        <w:rPr>
          <w:color w:val="000000"/>
        </w:rPr>
      </w:pPr>
      <w:hyperlink r:id="rId132">
        <w:r>
          <w:rPr>
            <w:color w:val="000000"/>
          </w:rPr>
          <w:t>21.</w:t>
        </w:r>
        <w:r>
          <w:rPr>
            <w:color w:val="000000"/>
          </w:rPr>
          <w:tab/>
          <w:t xml:space="preserve">Maniglia, M., Soler, V. &amp; Trotter, Y. Combining fixation and lateral masking training enhances perceptual learning effects in patients with macular degeneration. </w:t>
        </w:r>
      </w:hyperlink>
      <w:hyperlink r:id="rId133">
        <w:r>
          <w:rPr>
            <w:i/>
            <w:color w:val="000000"/>
          </w:rPr>
          <w:t>J. Vis.</w:t>
        </w:r>
      </w:hyperlink>
      <w:hyperlink r:id="rId134">
        <w:r>
          <w:rPr>
            <w:color w:val="000000"/>
          </w:rPr>
          <w:t xml:space="preserve"> </w:t>
        </w:r>
      </w:hyperlink>
      <w:hyperlink r:id="rId135">
        <w:r>
          <w:rPr>
            <w:b/>
            <w:color w:val="000000"/>
          </w:rPr>
          <w:t>20</w:t>
        </w:r>
      </w:hyperlink>
      <w:hyperlink r:id="rId136">
        <w:r>
          <w:rPr>
            <w:color w:val="000000"/>
          </w:rPr>
          <w:t>, 19 (2020).</w:t>
        </w:r>
      </w:hyperlink>
    </w:p>
    <w:p w14:paraId="0C1ABB87" w14:textId="77777777" w:rsidR="00321B55" w:rsidRDefault="00321B55">
      <w:pPr>
        <w:widowControl w:val="0"/>
        <w:pBdr>
          <w:top w:val="nil"/>
          <w:left w:val="nil"/>
          <w:bottom w:val="nil"/>
          <w:right w:val="nil"/>
          <w:between w:val="nil"/>
        </w:pBdr>
        <w:spacing w:line="240" w:lineRule="auto"/>
        <w:ind w:left="438" w:hanging="438"/>
        <w:rPr>
          <w:color w:val="000000"/>
        </w:rPr>
      </w:pPr>
      <w:hyperlink r:id="rId137">
        <w:r>
          <w:rPr>
            <w:color w:val="000000"/>
          </w:rPr>
          <w:t>22.</w:t>
        </w:r>
        <w:r>
          <w:rPr>
            <w:color w:val="000000"/>
          </w:rPr>
          <w:tab/>
          <w:t xml:space="preserve">Kuai, S.-G. &amp; Kourtzi, Z. Learning to see, but not discriminate, visual forms is impaired in aging. </w:t>
        </w:r>
      </w:hyperlink>
      <w:hyperlink r:id="rId138">
        <w:r>
          <w:rPr>
            <w:i/>
            <w:color w:val="000000"/>
          </w:rPr>
          <w:t>Psychol. Sci.</w:t>
        </w:r>
      </w:hyperlink>
      <w:hyperlink r:id="rId139">
        <w:r>
          <w:rPr>
            <w:color w:val="000000"/>
          </w:rPr>
          <w:t xml:space="preserve"> </w:t>
        </w:r>
      </w:hyperlink>
      <w:hyperlink r:id="rId140">
        <w:r>
          <w:rPr>
            <w:b/>
            <w:color w:val="000000"/>
          </w:rPr>
          <w:t>24</w:t>
        </w:r>
      </w:hyperlink>
      <w:hyperlink r:id="rId141">
        <w:r>
          <w:rPr>
            <w:color w:val="000000"/>
          </w:rPr>
          <w:t>, 412–422 (2013).</w:t>
        </w:r>
      </w:hyperlink>
    </w:p>
    <w:p w14:paraId="7898E1A3" w14:textId="77777777" w:rsidR="00321B55" w:rsidRDefault="00321B55">
      <w:pPr>
        <w:widowControl w:val="0"/>
        <w:pBdr>
          <w:top w:val="nil"/>
          <w:left w:val="nil"/>
          <w:bottom w:val="nil"/>
          <w:right w:val="nil"/>
          <w:between w:val="nil"/>
        </w:pBdr>
        <w:spacing w:line="240" w:lineRule="auto"/>
        <w:ind w:left="438" w:hanging="438"/>
        <w:rPr>
          <w:color w:val="000000"/>
        </w:rPr>
      </w:pPr>
      <w:hyperlink r:id="rId142">
        <w:r>
          <w:rPr>
            <w:color w:val="000000"/>
          </w:rPr>
          <w:t>23.</w:t>
        </w:r>
        <w:r>
          <w:rPr>
            <w:color w:val="000000"/>
          </w:rPr>
          <w:tab/>
          <w:t xml:space="preserve">Sigman, M. </w:t>
        </w:r>
      </w:hyperlink>
      <w:hyperlink r:id="rId143">
        <w:r>
          <w:rPr>
            <w:i/>
            <w:color w:val="000000"/>
          </w:rPr>
          <w:t>et al.</w:t>
        </w:r>
      </w:hyperlink>
      <w:hyperlink r:id="rId144">
        <w:r>
          <w:rPr>
            <w:color w:val="000000"/>
          </w:rPr>
          <w:t xml:space="preserve"> Top-down reorganization of activity in the visual pathway after learning a shape identification task. </w:t>
        </w:r>
      </w:hyperlink>
      <w:hyperlink r:id="rId145">
        <w:r>
          <w:rPr>
            <w:i/>
            <w:color w:val="000000"/>
          </w:rPr>
          <w:t>Neuron</w:t>
        </w:r>
      </w:hyperlink>
      <w:hyperlink r:id="rId146">
        <w:r>
          <w:rPr>
            <w:color w:val="000000"/>
          </w:rPr>
          <w:t xml:space="preserve"> </w:t>
        </w:r>
      </w:hyperlink>
      <w:hyperlink r:id="rId147">
        <w:r>
          <w:rPr>
            <w:b/>
            <w:color w:val="000000"/>
          </w:rPr>
          <w:t>46</w:t>
        </w:r>
      </w:hyperlink>
      <w:hyperlink r:id="rId148">
        <w:r>
          <w:rPr>
            <w:color w:val="000000"/>
          </w:rPr>
          <w:t>, 823–835 (2005).</w:t>
        </w:r>
      </w:hyperlink>
    </w:p>
    <w:p w14:paraId="1C1521E1" w14:textId="77777777" w:rsidR="00321B55" w:rsidRDefault="00321B55">
      <w:pPr>
        <w:widowControl w:val="0"/>
        <w:pBdr>
          <w:top w:val="nil"/>
          <w:left w:val="nil"/>
          <w:bottom w:val="nil"/>
          <w:right w:val="nil"/>
          <w:between w:val="nil"/>
        </w:pBdr>
        <w:spacing w:line="240" w:lineRule="auto"/>
        <w:ind w:left="438" w:hanging="438"/>
        <w:rPr>
          <w:color w:val="000000"/>
        </w:rPr>
      </w:pPr>
      <w:hyperlink r:id="rId149">
        <w:r>
          <w:rPr>
            <w:color w:val="000000"/>
          </w:rPr>
          <w:t>24.</w:t>
        </w:r>
        <w:r>
          <w:rPr>
            <w:color w:val="000000"/>
          </w:rPr>
          <w:tab/>
          <w:t xml:space="preserve">Silverstein, S. M. &amp; Keane, B. P. Perceptual organization in schizophrenia: Plasticity and state-related change. </w:t>
        </w:r>
      </w:hyperlink>
      <w:hyperlink r:id="rId150">
        <w:r>
          <w:rPr>
            <w:i/>
            <w:color w:val="000000"/>
          </w:rPr>
          <w:t>Learn. Percept.</w:t>
        </w:r>
      </w:hyperlink>
      <w:hyperlink r:id="rId151">
        <w:r>
          <w:rPr>
            <w:color w:val="000000"/>
          </w:rPr>
          <w:t xml:space="preserve"> </w:t>
        </w:r>
      </w:hyperlink>
      <w:hyperlink r:id="rId152">
        <w:r>
          <w:rPr>
            <w:b/>
            <w:color w:val="000000"/>
          </w:rPr>
          <w:t>1</w:t>
        </w:r>
      </w:hyperlink>
      <w:hyperlink r:id="rId153">
        <w:r>
          <w:rPr>
            <w:color w:val="000000"/>
          </w:rPr>
          <w:t>, 229–261 (2009).</w:t>
        </w:r>
      </w:hyperlink>
    </w:p>
    <w:p w14:paraId="71C16B5C" w14:textId="77777777" w:rsidR="00321B55" w:rsidRDefault="00321B55">
      <w:pPr>
        <w:widowControl w:val="0"/>
        <w:pBdr>
          <w:top w:val="nil"/>
          <w:left w:val="nil"/>
          <w:bottom w:val="nil"/>
          <w:right w:val="nil"/>
          <w:between w:val="nil"/>
        </w:pBdr>
        <w:spacing w:line="240" w:lineRule="auto"/>
        <w:ind w:left="438" w:hanging="438"/>
        <w:rPr>
          <w:color w:val="000000"/>
        </w:rPr>
      </w:pPr>
      <w:hyperlink r:id="rId154">
        <w:r>
          <w:rPr>
            <w:color w:val="000000"/>
          </w:rPr>
          <w:t>25.</w:t>
        </w:r>
        <w:r>
          <w:rPr>
            <w:color w:val="000000"/>
          </w:rPr>
          <w:tab/>
          <w:t xml:space="preserve">Silverstein, S. M. </w:t>
        </w:r>
      </w:hyperlink>
      <w:hyperlink r:id="rId155">
        <w:r>
          <w:rPr>
            <w:i/>
            <w:color w:val="000000"/>
          </w:rPr>
          <w:t>et al.</w:t>
        </w:r>
      </w:hyperlink>
      <w:hyperlink r:id="rId156">
        <w:r>
          <w:rPr>
            <w:color w:val="000000"/>
          </w:rPr>
          <w:t xml:space="preserve"> Optimization and validation of a visual integration test for schizophrenia research. </w:t>
        </w:r>
      </w:hyperlink>
      <w:hyperlink r:id="rId157">
        <w:r>
          <w:rPr>
            <w:i/>
            <w:color w:val="000000"/>
          </w:rPr>
          <w:t>Schizophr. Bull.</w:t>
        </w:r>
      </w:hyperlink>
      <w:hyperlink r:id="rId158">
        <w:r>
          <w:rPr>
            <w:color w:val="000000"/>
          </w:rPr>
          <w:t xml:space="preserve"> </w:t>
        </w:r>
      </w:hyperlink>
      <w:hyperlink r:id="rId159">
        <w:r>
          <w:rPr>
            <w:b/>
            <w:color w:val="000000"/>
          </w:rPr>
          <w:t>38</w:t>
        </w:r>
      </w:hyperlink>
      <w:hyperlink r:id="rId160">
        <w:r>
          <w:rPr>
            <w:color w:val="000000"/>
          </w:rPr>
          <w:t>, 125–134 (2012).</w:t>
        </w:r>
      </w:hyperlink>
    </w:p>
    <w:p w14:paraId="24409239" w14:textId="77777777" w:rsidR="00321B55" w:rsidRDefault="00321B55">
      <w:pPr>
        <w:widowControl w:val="0"/>
        <w:pBdr>
          <w:top w:val="nil"/>
          <w:left w:val="nil"/>
          <w:bottom w:val="nil"/>
          <w:right w:val="nil"/>
          <w:between w:val="nil"/>
        </w:pBdr>
        <w:spacing w:line="240" w:lineRule="auto"/>
        <w:ind w:left="438" w:hanging="438"/>
        <w:rPr>
          <w:color w:val="000000"/>
        </w:rPr>
      </w:pPr>
      <w:hyperlink r:id="rId161">
        <w:r>
          <w:rPr>
            <w:color w:val="000000"/>
          </w:rPr>
          <w:t>26.</w:t>
        </w:r>
        <w:r>
          <w:rPr>
            <w:color w:val="000000"/>
          </w:rPr>
          <w:tab/>
          <w:t xml:space="preserve">Kozma-Wiebe, P. </w:t>
        </w:r>
      </w:hyperlink>
      <w:hyperlink r:id="rId162">
        <w:r>
          <w:rPr>
            <w:i/>
            <w:color w:val="000000"/>
          </w:rPr>
          <w:t>et al.</w:t>
        </w:r>
      </w:hyperlink>
      <w:hyperlink r:id="rId163">
        <w:r>
          <w:rPr>
            <w:color w:val="000000"/>
          </w:rPr>
          <w:t xml:space="preserve"> Development of a world-wide web based contour integration test. </w:t>
        </w:r>
      </w:hyperlink>
      <w:hyperlink r:id="rId164">
        <w:r>
          <w:rPr>
            <w:i/>
            <w:color w:val="000000"/>
          </w:rPr>
          <w:t>Comput. Human Behav.</w:t>
        </w:r>
      </w:hyperlink>
      <w:hyperlink r:id="rId165">
        <w:r>
          <w:rPr>
            <w:color w:val="000000"/>
          </w:rPr>
          <w:t xml:space="preserve"> </w:t>
        </w:r>
      </w:hyperlink>
      <w:hyperlink r:id="rId166">
        <w:r>
          <w:rPr>
            <w:b/>
            <w:color w:val="000000"/>
          </w:rPr>
          <w:t>22</w:t>
        </w:r>
      </w:hyperlink>
      <w:hyperlink r:id="rId167">
        <w:r>
          <w:rPr>
            <w:color w:val="000000"/>
          </w:rPr>
          <w:t>, 971–980 (2006).</w:t>
        </w:r>
      </w:hyperlink>
    </w:p>
    <w:p w14:paraId="2C396531" w14:textId="1B106BE8" w:rsidR="00321B55" w:rsidRDefault="00321B55" w:rsidP="00483E90">
      <w:pPr>
        <w:widowControl w:val="0"/>
        <w:pBdr>
          <w:top w:val="nil"/>
          <w:left w:val="nil"/>
          <w:bottom w:val="nil"/>
          <w:right w:val="nil"/>
          <w:between w:val="nil"/>
        </w:pBdr>
        <w:spacing w:line="240" w:lineRule="auto"/>
        <w:rPr>
          <w:color w:val="000000"/>
        </w:rPr>
      </w:pPr>
    </w:p>
    <w:sectPr w:rsidR="00321B55">
      <w:pgSz w:w="12240" w:h="15840"/>
      <w:pgMar w:top="1440" w:right="1440" w:bottom="1440" w:left="1440" w:header="720" w:footer="720" w:gutter="0"/>
      <w:lnNumType w:countBy="1" w:restart="continuous"/>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C4458"/>
    <w:multiLevelType w:val="hybridMultilevel"/>
    <w:tmpl w:val="82BA8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7944B2"/>
    <w:multiLevelType w:val="hybridMultilevel"/>
    <w:tmpl w:val="3D044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474BC7"/>
    <w:multiLevelType w:val="hybridMultilevel"/>
    <w:tmpl w:val="155AA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3685623">
    <w:abstractNumId w:val="0"/>
  </w:num>
  <w:num w:numId="2" w16cid:durableId="546649181">
    <w:abstractNumId w:val="1"/>
  </w:num>
  <w:num w:numId="3" w16cid:durableId="16893300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B55"/>
    <w:rsid w:val="00321B55"/>
    <w:rsid w:val="00483E90"/>
    <w:rsid w:val="0067593E"/>
    <w:rsid w:val="00685490"/>
    <w:rsid w:val="00721BA6"/>
    <w:rsid w:val="007A2F0B"/>
    <w:rsid w:val="008528AC"/>
    <w:rsid w:val="00857DFD"/>
    <w:rsid w:val="00963538"/>
    <w:rsid w:val="00A0288F"/>
    <w:rsid w:val="00AF2B34"/>
    <w:rsid w:val="00BE14B0"/>
    <w:rsid w:val="00C603AD"/>
    <w:rsid w:val="00D967D9"/>
    <w:rsid w:val="00DB6C88"/>
    <w:rsid w:val="00DD7CF5"/>
    <w:rsid w:val="00E14D97"/>
    <w:rsid w:val="00E4068F"/>
    <w:rsid w:val="00F70D4D"/>
    <w:rsid w:val="00FC7C97"/>
    <w:rsid w:val="00FD0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32C8D"/>
  <w15:docId w15:val="{2470C63A-0ACA-9B45-B860-11FF296B8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LineNumber">
    <w:name w:val="line number"/>
    <w:basedOn w:val="DefaultParagraphFont"/>
    <w:uiPriority w:val="99"/>
    <w:semiHidden/>
    <w:unhideWhenUsed/>
    <w:rsid w:val="007A2F0B"/>
  </w:style>
  <w:style w:type="paragraph" w:styleId="ListParagraph">
    <w:name w:val="List Paragraph"/>
    <w:basedOn w:val="Normal"/>
    <w:uiPriority w:val="34"/>
    <w:qFormat/>
    <w:rsid w:val="00FC7C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sciwheel.com/work/bibliography/2502761" TargetMode="External"/><Relationship Id="rId21" Type="http://schemas.openxmlformats.org/officeDocument/2006/relationships/hyperlink" Target="https://sciwheel.com/work/citation?ids=554408,137979,15956993&amp;pre=&amp;pre=&amp;pre=&amp;suf=&amp;suf=&amp;suf=&amp;sa=0,0,0" TargetMode="External"/><Relationship Id="rId42" Type="http://schemas.openxmlformats.org/officeDocument/2006/relationships/hyperlink" Target="https://sciwheel.com/work/bibliography/376463" TargetMode="External"/><Relationship Id="rId63" Type="http://schemas.openxmlformats.org/officeDocument/2006/relationships/hyperlink" Target="https://sciwheel.com/work/bibliography/1167770" TargetMode="External"/><Relationship Id="rId84" Type="http://schemas.openxmlformats.org/officeDocument/2006/relationships/hyperlink" Target="https://sciwheel.com/work/bibliography/6843196" TargetMode="External"/><Relationship Id="rId138" Type="http://schemas.openxmlformats.org/officeDocument/2006/relationships/hyperlink" Target="https://sciwheel.com/work/bibliography/4462717" TargetMode="External"/><Relationship Id="rId159" Type="http://schemas.openxmlformats.org/officeDocument/2006/relationships/hyperlink" Target="https://sciwheel.com/work/bibliography/3461478" TargetMode="External"/><Relationship Id="rId107" Type="http://schemas.openxmlformats.org/officeDocument/2006/relationships/hyperlink" Target="https://sciwheel.com/work/bibliography/4463163" TargetMode="External"/><Relationship Id="rId11" Type="http://schemas.openxmlformats.org/officeDocument/2006/relationships/hyperlink" Target="https://sciwheel.com/work/citation?ids=5950449&amp;pre=&amp;suf=&amp;sa=0" TargetMode="External"/><Relationship Id="rId32" Type="http://schemas.openxmlformats.org/officeDocument/2006/relationships/image" Target="media/image11.png"/><Relationship Id="rId53" Type="http://schemas.openxmlformats.org/officeDocument/2006/relationships/hyperlink" Target="https://sciwheel.com/work/bibliography/5950449" TargetMode="External"/><Relationship Id="rId74" Type="http://schemas.openxmlformats.org/officeDocument/2006/relationships/hyperlink" Target="https://sciwheel.com/work/bibliography/13032070" TargetMode="External"/><Relationship Id="rId128" Type="http://schemas.openxmlformats.org/officeDocument/2006/relationships/hyperlink" Target="https://sciwheel.com/work/bibliography/2502901" TargetMode="External"/><Relationship Id="rId149" Type="http://schemas.openxmlformats.org/officeDocument/2006/relationships/hyperlink" Target="https://sciwheel.com/work/bibliography/4519133" TargetMode="External"/><Relationship Id="rId5" Type="http://schemas.openxmlformats.org/officeDocument/2006/relationships/hyperlink" Target="mailto:mmanig@ucr.edu" TargetMode="External"/><Relationship Id="rId95" Type="http://schemas.openxmlformats.org/officeDocument/2006/relationships/hyperlink" Target="https://sciwheel.com/work/bibliography/137979" TargetMode="External"/><Relationship Id="rId160" Type="http://schemas.openxmlformats.org/officeDocument/2006/relationships/hyperlink" Target="https://sciwheel.com/work/bibliography/3461478" TargetMode="External"/><Relationship Id="rId22" Type="http://schemas.openxmlformats.org/officeDocument/2006/relationships/image" Target="media/image7.png"/><Relationship Id="rId43" Type="http://schemas.openxmlformats.org/officeDocument/2006/relationships/hyperlink" Target="https://sciwheel.com/work/bibliography/376463" TargetMode="External"/><Relationship Id="rId64" Type="http://schemas.openxmlformats.org/officeDocument/2006/relationships/hyperlink" Target="https://sciwheel.com/work/bibliography/1167770" TargetMode="External"/><Relationship Id="rId118" Type="http://schemas.openxmlformats.org/officeDocument/2006/relationships/hyperlink" Target="https://sciwheel.com/work/bibliography/2502761" TargetMode="External"/><Relationship Id="rId139" Type="http://schemas.openxmlformats.org/officeDocument/2006/relationships/hyperlink" Target="https://sciwheel.com/work/bibliography/4462717" TargetMode="External"/><Relationship Id="rId85" Type="http://schemas.openxmlformats.org/officeDocument/2006/relationships/hyperlink" Target="https://sciwheel.com/work/bibliography/408347" TargetMode="External"/><Relationship Id="rId150" Type="http://schemas.openxmlformats.org/officeDocument/2006/relationships/hyperlink" Target="https://sciwheel.com/work/bibliography/4519133" TargetMode="External"/><Relationship Id="rId12" Type="http://schemas.openxmlformats.org/officeDocument/2006/relationships/hyperlink" Target="https://sciwheel.com/work/citation?ids=8552118,1167770&amp;pre=&amp;pre=&amp;suf=&amp;suf=&amp;sa=0,0" TargetMode="External"/><Relationship Id="rId33" Type="http://schemas.openxmlformats.org/officeDocument/2006/relationships/hyperlink" Target="https://sciwheel.com/work/bibliography" TargetMode="External"/><Relationship Id="rId108" Type="http://schemas.openxmlformats.org/officeDocument/2006/relationships/hyperlink" Target="https://sciwheel.com/work/bibliography/4463163" TargetMode="External"/><Relationship Id="rId129" Type="http://schemas.openxmlformats.org/officeDocument/2006/relationships/hyperlink" Target="https://sciwheel.com/work/bibliography/2502901" TargetMode="External"/><Relationship Id="rId54" Type="http://schemas.openxmlformats.org/officeDocument/2006/relationships/hyperlink" Target="https://sciwheel.com/work/bibliography/5950449" TargetMode="External"/><Relationship Id="rId70" Type="http://schemas.openxmlformats.org/officeDocument/2006/relationships/hyperlink" Target="https://sciwheel.com/work/bibliography/13032070" TargetMode="External"/><Relationship Id="rId75" Type="http://schemas.openxmlformats.org/officeDocument/2006/relationships/hyperlink" Target="https://sciwheel.com/work/bibliography/2044087" TargetMode="External"/><Relationship Id="rId91" Type="http://schemas.openxmlformats.org/officeDocument/2006/relationships/hyperlink" Target="https://sciwheel.com/work/bibliography/554408" TargetMode="External"/><Relationship Id="rId96" Type="http://schemas.openxmlformats.org/officeDocument/2006/relationships/hyperlink" Target="https://sciwheel.com/work/bibliography/137979" TargetMode="External"/><Relationship Id="rId140" Type="http://schemas.openxmlformats.org/officeDocument/2006/relationships/hyperlink" Target="https://sciwheel.com/work/bibliography/4462717" TargetMode="External"/><Relationship Id="rId145" Type="http://schemas.openxmlformats.org/officeDocument/2006/relationships/hyperlink" Target="https://sciwheel.com/work/bibliography/560141" TargetMode="External"/><Relationship Id="rId161" Type="http://schemas.openxmlformats.org/officeDocument/2006/relationships/hyperlink" Target="https://sciwheel.com/work/bibliography/377050" TargetMode="External"/><Relationship Id="rId166" Type="http://schemas.openxmlformats.org/officeDocument/2006/relationships/hyperlink" Target="https://sciwheel.com/work/bibliography/377050" TargetMode="External"/><Relationship Id="rId1" Type="http://schemas.openxmlformats.org/officeDocument/2006/relationships/numbering" Target="numbering.xml"/><Relationship Id="rId6" Type="http://schemas.openxmlformats.org/officeDocument/2006/relationships/hyperlink" Target="https://drive.google.com/drive/folders/1av9RX6ev2VfdAPAZrPR1WXc8PAzqGTkQ?usp=sharing" TargetMode="External"/><Relationship Id="rId23" Type="http://schemas.openxmlformats.org/officeDocument/2006/relationships/hyperlink" Target="https://sciwheel.com/work/citation?ids=137979&amp;pre=&amp;suf=&amp;sa=0" TargetMode="External"/><Relationship Id="rId28" Type="http://schemas.openxmlformats.org/officeDocument/2006/relationships/image" Target="media/image9.png"/><Relationship Id="rId49" Type="http://schemas.openxmlformats.org/officeDocument/2006/relationships/hyperlink" Target="https://sciwheel.com/work/bibliography/339903" TargetMode="External"/><Relationship Id="rId114" Type="http://schemas.openxmlformats.org/officeDocument/2006/relationships/hyperlink" Target="https://sciwheel.com/work/bibliography/4462981" TargetMode="External"/><Relationship Id="rId119" Type="http://schemas.openxmlformats.org/officeDocument/2006/relationships/hyperlink" Target="https://sciwheel.com/work/bibliography/2502761" TargetMode="External"/><Relationship Id="rId44" Type="http://schemas.openxmlformats.org/officeDocument/2006/relationships/hyperlink" Target="https://sciwheel.com/work/bibliography/376463" TargetMode="External"/><Relationship Id="rId60" Type="http://schemas.openxmlformats.org/officeDocument/2006/relationships/hyperlink" Target="https://sciwheel.com/work/bibliography/1167770" TargetMode="External"/><Relationship Id="rId65" Type="http://schemas.openxmlformats.org/officeDocument/2006/relationships/hyperlink" Target="https://sciwheel.com/work/bibliography/14261323" TargetMode="External"/><Relationship Id="rId81" Type="http://schemas.openxmlformats.org/officeDocument/2006/relationships/hyperlink" Target="https://sciwheel.com/work/bibliography/6843196" TargetMode="External"/><Relationship Id="rId86" Type="http://schemas.openxmlformats.org/officeDocument/2006/relationships/hyperlink" Target="https://sciwheel.com/work/bibliography/408347" TargetMode="External"/><Relationship Id="rId130" Type="http://schemas.openxmlformats.org/officeDocument/2006/relationships/hyperlink" Target="https://sciwheel.com/work/bibliography/2502901" TargetMode="External"/><Relationship Id="rId135" Type="http://schemas.openxmlformats.org/officeDocument/2006/relationships/hyperlink" Target="https://sciwheel.com/work/bibliography/9866611" TargetMode="External"/><Relationship Id="rId151" Type="http://schemas.openxmlformats.org/officeDocument/2006/relationships/hyperlink" Target="https://sciwheel.com/work/bibliography/4519133" TargetMode="External"/><Relationship Id="rId156" Type="http://schemas.openxmlformats.org/officeDocument/2006/relationships/hyperlink" Target="https://sciwheel.com/work/bibliography/3461478" TargetMode="External"/><Relationship Id="rId13" Type="http://schemas.openxmlformats.org/officeDocument/2006/relationships/image" Target="media/image3.png"/><Relationship Id="rId18" Type="http://schemas.openxmlformats.org/officeDocument/2006/relationships/hyperlink" Target="https://sciwheel.com/work/citation?ids=2044087&amp;pre=&amp;suf=&amp;sa=0" TargetMode="External"/><Relationship Id="rId39" Type="http://schemas.openxmlformats.org/officeDocument/2006/relationships/hyperlink" Target="https://sciwheel.com/work/bibliography/6842899" TargetMode="External"/><Relationship Id="rId109" Type="http://schemas.openxmlformats.org/officeDocument/2006/relationships/hyperlink" Target="https://sciwheel.com/work/bibliography/4463163" TargetMode="External"/><Relationship Id="rId34" Type="http://schemas.openxmlformats.org/officeDocument/2006/relationships/hyperlink" Target="https://sciwheel.com/work/bibliography/17267825" TargetMode="External"/><Relationship Id="rId50" Type="http://schemas.openxmlformats.org/officeDocument/2006/relationships/hyperlink" Target="https://sciwheel.com/work/bibliography/5950449" TargetMode="External"/><Relationship Id="rId55" Type="http://schemas.openxmlformats.org/officeDocument/2006/relationships/hyperlink" Target="https://sciwheel.com/work/bibliography/8552118" TargetMode="External"/><Relationship Id="rId76" Type="http://schemas.openxmlformats.org/officeDocument/2006/relationships/hyperlink" Target="https://sciwheel.com/work/bibliography/2044087" TargetMode="External"/><Relationship Id="rId97" Type="http://schemas.openxmlformats.org/officeDocument/2006/relationships/hyperlink" Target="https://sciwheel.com/work/bibliography/137979" TargetMode="External"/><Relationship Id="rId104" Type="http://schemas.openxmlformats.org/officeDocument/2006/relationships/hyperlink" Target="https://sciwheel.com/work/bibliography/15956993" TargetMode="External"/><Relationship Id="rId120" Type="http://schemas.openxmlformats.org/officeDocument/2006/relationships/hyperlink" Target="https://sciwheel.com/work/bibliography/2502761" TargetMode="External"/><Relationship Id="rId125" Type="http://schemas.openxmlformats.org/officeDocument/2006/relationships/hyperlink" Target="https://sciwheel.com/work/bibliography/2502738" TargetMode="External"/><Relationship Id="rId141" Type="http://schemas.openxmlformats.org/officeDocument/2006/relationships/hyperlink" Target="https://sciwheel.com/work/bibliography/4462717" TargetMode="External"/><Relationship Id="rId146" Type="http://schemas.openxmlformats.org/officeDocument/2006/relationships/hyperlink" Target="https://sciwheel.com/work/bibliography/560141" TargetMode="External"/><Relationship Id="rId167" Type="http://schemas.openxmlformats.org/officeDocument/2006/relationships/hyperlink" Target="https://sciwheel.com/work/bibliography/377050" TargetMode="External"/><Relationship Id="rId7" Type="http://schemas.openxmlformats.org/officeDocument/2006/relationships/hyperlink" Target="https://sciwheel.com/work/citation?ids=17267825&amp;pre=&amp;suf=&amp;sa=0" TargetMode="External"/><Relationship Id="rId71" Type="http://schemas.openxmlformats.org/officeDocument/2006/relationships/hyperlink" Target="https://sciwheel.com/work/bibliography/13032070" TargetMode="External"/><Relationship Id="rId92" Type="http://schemas.openxmlformats.org/officeDocument/2006/relationships/hyperlink" Target="https://sciwheel.com/work/bibliography/554408" TargetMode="External"/><Relationship Id="rId162" Type="http://schemas.openxmlformats.org/officeDocument/2006/relationships/hyperlink" Target="https://sciwheel.com/work/bibliography/377050" TargetMode="External"/><Relationship Id="rId2" Type="http://schemas.openxmlformats.org/officeDocument/2006/relationships/styles" Target="styles.xml"/><Relationship Id="rId29" Type="http://schemas.openxmlformats.org/officeDocument/2006/relationships/hyperlink" Target="https://sciwheel.com/work/citation?ids=4462717,560141&amp;pre=&amp;pre=&amp;suf=&amp;suf=&amp;sa=0,0" TargetMode="External"/><Relationship Id="rId24" Type="http://schemas.openxmlformats.org/officeDocument/2006/relationships/hyperlink" Target="https://sciwheel.com/work/citation?ids=137979&amp;pre=&amp;suf=&amp;sa=0" TargetMode="External"/><Relationship Id="rId40" Type="http://schemas.openxmlformats.org/officeDocument/2006/relationships/hyperlink" Target="https://sciwheel.com/work/bibliography/376463" TargetMode="External"/><Relationship Id="rId45" Type="http://schemas.openxmlformats.org/officeDocument/2006/relationships/hyperlink" Target="https://sciwheel.com/work/bibliography/339903" TargetMode="External"/><Relationship Id="rId66" Type="http://schemas.openxmlformats.org/officeDocument/2006/relationships/hyperlink" Target="https://sciwheel.com/work/bibliography/14261323" TargetMode="External"/><Relationship Id="rId87" Type="http://schemas.openxmlformats.org/officeDocument/2006/relationships/hyperlink" Target="https://sciwheel.com/work/bibliography/408347" TargetMode="External"/><Relationship Id="rId110" Type="http://schemas.openxmlformats.org/officeDocument/2006/relationships/hyperlink" Target="https://sciwheel.com/work/bibliography/4463163" TargetMode="External"/><Relationship Id="rId115" Type="http://schemas.openxmlformats.org/officeDocument/2006/relationships/hyperlink" Target="https://sciwheel.com/work/bibliography/4462981" TargetMode="External"/><Relationship Id="rId131" Type="http://schemas.openxmlformats.org/officeDocument/2006/relationships/hyperlink" Target="https://sciwheel.com/work/bibliography/2502901" TargetMode="External"/><Relationship Id="rId136" Type="http://schemas.openxmlformats.org/officeDocument/2006/relationships/hyperlink" Target="https://sciwheel.com/work/bibliography/9866611" TargetMode="External"/><Relationship Id="rId157" Type="http://schemas.openxmlformats.org/officeDocument/2006/relationships/hyperlink" Target="https://sciwheel.com/work/bibliography/3461478" TargetMode="External"/><Relationship Id="rId61" Type="http://schemas.openxmlformats.org/officeDocument/2006/relationships/hyperlink" Target="https://sciwheel.com/work/bibliography/1167770" TargetMode="External"/><Relationship Id="rId82" Type="http://schemas.openxmlformats.org/officeDocument/2006/relationships/hyperlink" Target="https://sciwheel.com/work/bibliography/6843196" TargetMode="External"/><Relationship Id="rId152" Type="http://schemas.openxmlformats.org/officeDocument/2006/relationships/hyperlink" Target="https://sciwheel.com/work/bibliography/4519133" TargetMode="External"/><Relationship Id="rId19" Type="http://schemas.openxmlformats.org/officeDocument/2006/relationships/image" Target="media/image6.png"/><Relationship Id="rId14" Type="http://schemas.openxmlformats.org/officeDocument/2006/relationships/hyperlink" Target="https://sciwheel.com/work/citation?ids=14261323&amp;pre=&amp;suf=&amp;sa=0" TargetMode="External"/><Relationship Id="rId30" Type="http://schemas.openxmlformats.org/officeDocument/2006/relationships/hyperlink" Target="https://sciwheel.com/work/citation?ids=4519133,3461478,377050&amp;pre=&amp;pre=&amp;pre=&amp;suf=&amp;suf=&amp;suf=&amp;sa=0,0,0" TargetMode="External"/><Relationship Id="rId35" Type="http://schemas.openxmlformats.org/officeDocument/2006/relationships/hyperlink" Target="https://sciwheel.com/work/bibliography/6842899" TargetMode="External"/><Relationship Id="rId56" Type="http://schemas.openxmlformats.org/officeDocument/2006/relationships/hyperlink" Target="https://sciwheel.com/work/bibliography/8552118" TargetMode="External"/><Relationship Id="rId77" Type="http://schemas.openxmlformats.org/officeDocument/2006/relationships/hyperlink" Target="https://sciwheel.com/work/bibliography/2044087" TargetMode="External"/><Relationship Id="rId100" Type="http://schemas.openxmlformats.org/officeDocument/2006/relationships/hyperlink" Target="https://sciwheel.com/work/bibliography/15956993" TargetMode="External"/><Relationship Id="rId105" Type="http://schemas.openxmlformats.org/officeDocument/2006/relationships/hyperlink" Target="https://sciwheel.com/work/bibliography/4463163" TargetMode="External"/><Relationship Id="rId126" Type="http://schemas.openxmlformats.org/officeDocument/2006/relationships/hyperlink" Target="https://sciwheel.com/work/bibliography/2502738" TargetMode="External"/><Relationship Id="rId147" Type="http://schemas.openxmlformats.org/officeDocument/2006/relationships/hyperlink" Target="https://sciwheel.com/work/bibliography/560141" TargetMode="External"/><Relationship Id="rId168"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s://sciwheel.com/work/bibliography/5950449" TargetMode="External"/><Relationship Id="rId72" Type="http://schemas.openxmlformats.org/officeDocument/2006/relationships/hyperlink" Target="https://sciwheel.com/work/bibliography/13032070" TargetMode="External"/><Relationship Id="rId93" Type="http://schemas.openxmlformats.org/officeDocument/2006/relationships/hyperlink" Target="https://sciwheel.com/work/bibliography/554408" TargetMode="External"/><Relationship Id="rId98" Type="http://schemas.openxmlformats.org/officeDocument/2006/relationships/hyperlink" Target="https://sciwheel.com/work/bibliography/137979" TargetMode="External"/><Relationship Id="rId121" Type="http://schemas.openxmlformats.org/officeDocument/2006/relationships/hyperlink" Target="https://sciwheel.com/work/bibliography/2502761" TargetMode="External"/><Relationship Id="rId142" Type="http://schemas.openxmlformats.org/officeDocument/2006/relationships/hyperlink" Target="https://sciwheel.com/work/bibliography/560141" TargetMode="External"/><Relationship Id="rId163" Type="http://schemas.openxmlformats.org/officeDocument/2006/relationships/hyperlink" Target="https://sciwheel.com/work/bibliography/377050" TargetMode="External"/><Relationship Id="rId3" Type="http://schemas.openxmlformats.org/officeDocument/2006/relationships/settings" Target="settings.xml"/><Relationship Id="rId25" Type="http://schemas.openxmlformats.org/officeDocument/2006/relationships/image" Target="media/image8.png"/><Relationship Id="rId46" Type="http://schemas.openxmlformats.org/officeDocument/2006/relationships/hyperlink" Target="https://sciwheel.com/work/bibliography/339903" TargetMode="External"/><Relationship Id="rId67" Type="http://schemas.openxmlformats.org/officeDocument/2006/relationships/hyperlink" Target="https://sciwheel.com/work/bibliography/14261323" TargetMode="External"/><Relationship Id="rId116" Type="http://schemas.openxmlformats.org/officeDocument/2006/relationships/hyperlink" Target="https://sciwheel.com/work/bibliography/4462981" TargetMode="External"/><Relationship Id="rId137" Type="http://schemas.openxmlformats.org/officeDocument/2006/relationships/hyperlink" Target="https://sciwheel.com/work/bibliography/4462717" TargetMode="External"/><Relationship Id="rId158" Type="http://schemas.openxmlformats.org/officeDocument/2006/relationships/hyperlink" Target="https://sciwheel.com/work/bibliography/3461478" TargetMode="External"/><Relationship Id="rId20" Type="http://schemas.openxmlformats.org/officeDocument/2006/relationships/hyperlink" Target="https://sciwheel.com/work/citation?ids=6843196,408347&amp;pre=&amp;pre=&amp;suf=&amp;suf=&amp;sa=0,0" TargetMode="External"/><Relationship Id="rId41" Type="http://schemas.openxmlformats.org/officeDocument/2006/relationships/hyperlink" Target="https://sciwheel.com/work/bibliography/376463" TargetMode="External"/><Relationship Id="rId62" Type="http://schemas.openxmlformats.org/officeDocument/2006/relationships/hyperlink" Target="https://sciwheel.com/work/bibliography/1167770" TargetMode="External"/><Relationship Id="rId83" Type="http://schemas.openxmlformats.org/officeDocument/2006/relationships/hyperlink" Target="https://sciwheel.com/work/bibliography/6843196" TargetMode="External"/><Relationship Id="rId88" Type="http://schemas.openxmlformats.org/officeDocument/2006/relationships/hyperlink" Target="https://sciwheel.com/work/bibliography/408347" TargetMode="External"/><Relationship Id="rId111" Type="http://schemas.openxmlformats.org/officeDocument/2006/relationships/hyperlink" Target="https://sciwheel.com/work/bibliography/4463163" TargetMode="External"/><Relationship Id="rId132" Type="http://schemas.openxmlformats.org/officeDocument/2006/relationships/hyperlink" Target="https://sciwheel.com/work/bibliography/9866611" TargetMode="External"/><Relationship Id="rId153" Type="http://schemas.openxmlformats.org/officeDocument/2006/relationships/hyperlink" Target="https://sciwheel.com/work/bibliography/4519133" TargetMode="External"/><Relationship Id="rId15" Type="http://schemas.openxmlformats.org/officeDocument/2006/relationships/image" Target="media/image4.png"/><Relationship Id="rId36" Type="http://schemas.openxmlformats.org/officeDocument/2006/relationships/hyperlink" Target="https://sciwheel.com/work/bibliography/6842899" TargetMode="External"/><Relationship Id="rId57" Type="http://schemas.openxmlformats.org/officeDocument/2006/relationships/hyperlink" Target="https://sciwheel.com/work/bibliography/8552118" TargetMode="External"/><Relationship Id="rId106" Type="http://schemas.openxmlformats.org/officeDocument/2006/relationships/hyperlink" Target="https://sciwheel.com/work/bibliography/4463163" TargetMode="External"/><Relationship Id="rId127" Type="http://schemas.openxmlformats.org/officeDocument/2006/relationships/hyperlink" Target="https://sciwheel.com/work/bibliography/2502901" TargetMode="External"/><Relationship Id="rId10" Type="http://schemas.openxmlformats.org/officeDocument/2006/relationships/image" Target="media/image2.png"/><Relationship Id="rId31" Type="http://schemas.openxmlformats.org/officeDocument/2006/relationships/image" Target="media/image10.png"/><Relationship Id="rId52" Type="http://schemas.openxmlformats.org/officeDocument/2006/relationships/hyperlink" Target="https://sciwheel.com/work/bibliography/5950449" TargetMode="External"/><Relationship Id="rId73" Type="http://schemas.openxmlformats.org/officeDocument/2006/relationships/hyperlink" Target="https://sciwheel.com/work/bibliography/13032070" TargetMode="External"/><Relationship Id="rId78" Type="http://schemas.openxmlformats.org/officeDocument/2006/relationships/hyperlink" Target="https://sciwheel.com/work/bibliography/2044087" TargetMode="External"/><Relationship Id="rId94" Type="http://schemas.openxmlformats.org/officeDocument/2006/relationships/hyperlink" Target="https://sciwheel.com/work/bibliography/554408" TargetMode="External"/><Relationship Id="rId99" Type="http://schemas.openxmlformats.org/officeDocument/2006/relationships/hyperlink" Target="https://sciwheel.com/work/bibliography/137979" TargetMode="External"/><Relationship Id="rId101" Type="http://schemas.openxmlformats.org/officeDocument/2006/relationships/hyperlink" Target="https://sciwheel.com/work/bibliography/15956993" TargetMode="External"/><Relationship Id="rId122" Type="http://schemas.openxmlformats.org/officeDocument/2006/relationships/hyperlink" Target="https://sciwheel.com/work/bibliography/2502738" TargetMode="External"/><Relationship Id="rId143" Type="http://schemas.openxmlformats.org/officeDocument/2006/relationships/hyperlink" Target="https://sciwheel.com/work/bibliography/560141" TargetMode="External"/><Relationship Id="rId148" Type="http://schemas.openxmlformats.org/officeDocument/2006/relationships/hyperlink" Target="https://sciwheel.com/work/bibliography/560141" TargetMode="External"/><Relationship Id="rId164" Type="http://schemas.openxmlformats.org/officeDocument/2006/relationships/hyperlink" Target="https://sciwheel.com/work/bibliography/377050" TargetMode="External"/><Relationship Id="rId16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ciwheel.com/work/citation?ids=6842899,376463&amp;pre=&amp;pre=&amp;suf=&amp;suf=&amp;sa=0,0" TargetMode="External"/><Relationship Id="rId26" Type="http://schemas.openxmlformats.org/officeDocument/2006/relationships/hyperlink" Target="https://sciwheel.com/work/citation?ids=4463163,4462981,2502761,2502738,2502901&amp;pre=&amp;pre=&amp;pre=&amp;pre=&amp;pre=&amp;suf=&amp;suf=&amp;suf=&amp;suf=&amp;suf=&amp;sa=0,0,0,0,0" TargetMode="External"/><Relationship Id="rId47" Type="http://schemas.openxmlformats.org/officeDocument/2006/relationships/hyperlink" Target="https://sciwheel.com/work/bibliography/339903" TargetMode="External"/><Relationship Id="rId68" Type="http://schemas.openxmlformats.org/officeDocument/2006/relationships/hyperlink" Target="https://sciwheel.com/work/bibliography/14261323" TargetMode="External"/><Relationship Id="rId89" Type="http://schemas.openxmlformats.org/officeDocument/2006/relationships/hyperlink" Target="https://sciwheel.com/work/bibliography/408347" TargetMode="External"/><Relationship Id="rId112" Type="http://schemas.openxmlformats.org/officeDocument/2006/relationships/hyperlink" Target="https://sciwheel.com/work/bibliography/4462981" TargetMode="External"/><Relationship Id="rId133" Type="http://schemas.openxmlformats.org/officeDocument/2006/relationships/hyperlink" Target="https://sciwheel.com/work/bibliography/9866611" TargetMode="External"/><Relationship Id="rId154" Type="http://schemas.openxmlformats.org/officeDocument/2006/relationships/hyperlink" Target="https://sciwheel.com/work/bibliography/3461478" TargetMode="External"/><Relationship Id="rId16" Type="http://schemas.openxmlformats.org/officeDocument/2006/relationships/hyperlink" Target="https://sciwheel.com/work/citation?ids=13032070&amp;pre=&amp;suf=&amp;sa=0" TargetMode="External"/><Relationship Id="rId37" Type="http://schemas.openxmlformats.org/officeDocument/2006/relationships/hyperlink" Target="https://sciwheel.com/work/bibliography/6842899" TargetMode="External"/><Relationship Id="rId58" Type="http://schemas.openxmlformats.org/officeDocument/2006/relationships/hyperlink" Target="https://sciwheel.com/work/bibliography/8552118" TargetMode="External"/><Relationship Id="rId79" Type="http://schemas.openxmlformats.org/officeDocument/2006/relationships/hyperlink" Target="https://sciwheel.com/work/bibliography/2044087" TargetMode="External"/><Relationship Id="rId102" Type="http://schemas.openxmlformats.org/officeDocument/2006/relationships/hyperlink" Target="https://sciwheel.com/work/bibliography/15956993" TargetMode="External"/><Relationship Id="rId123" Type="http://schemas.openxmlformats.org/officeDocument/2006/relationships/hyperlink" Target="https://sciwheel.com/work/bibliography/2502738" TargetMode="External"/><Relationship Id="rId144" Type="http://schemas.openxmlformats.org/officeDocument/2006/relationships/hyperlink" Target="https://sciwheel.com/work/bibliography/560141" TargetMode="External"/><Relationship Id="rId90" Type="http://schemas.openxmlformats.org/officeDocument/2006/relationships/hyperlink" Target="https://sciwheel.com/work/bibliography/554408" TargetMode="External"/><Relationship Id="rId165" Type="http://schemas.openxmlformats.org/officeDocument/2006/relationships/hyperlink" Target="https://sciwheel.com/work/bibliography/377050" TargetMode="External"/><Relationship Id="rId27" Type="http://schemas.openxmlformats.org/officeDocument/2006/relationships/hyperlink" Target="https://sciwheel.com/work/citation?ids=9866611&amp;pre=&amp;suf=&amp;sa=0" TargetMode="External"/><Relationship Id="rId48" Type="http://schemas.openxmlformats.org/officeDocument/2006/relationships/hyperlink" Target="https://sciwheel.com/work/bibliography/339903" TargetMode="External"/><Relationship Id="rId69" Type="http://schemas.openxmlformats.org/officeDocument/2006/relationships/hyperlink" Target="https://sciwheel.com/work/bibliography/14261323" TargetMode="External"/><Relationship Id="rId113" Type="http://schemas.openxmlformats.org/officeDocument/2006/relationships/hyperlink" Target="https://sciwheel.com/work/bibliography/4462981" TargetMode="External"/><Relationship Id="rId134" Type="http://schemas.openxmlformats.org/officeDocument/2006/relationships/hyperlink" Target="https://sciwheel.com/work/bibliography/9866611" TargetMode="External"/><Relationship Id="rId80" Type="http://schemas.openxmlformats.org/officeDocument/2006/relationships/hyperlink" Target="https://sciwheel.com/work/bibliography/6843196" TargetMode="External"/><Relationship Id="rId155" Type="http://schemas.openxmlformats.org/officeDocument/2006/relationships/hyperlink" Target="https://sciwheel.com/work/bibliography/3461478" TargetMode="External"/><Relationship Id="rId17" Type="http://schemas.openxmlformats.org/officeDocument/2006/relationships/image" Target="media/image5.png"/><Relationship Id="rId38" Type="http://schemas.openxmlformats.org/officeDocument/2006/relationships/hyperlink" Target="https://sciwheel.com/work/bibliography/6842899" TargetMode="External"/><Relationship Id="rId59" Type="http://schemas.openxmlformats.org/officeDocument/2006/relationships/hyperlink" Target="https://sciwheel.com/work/bibliography/8552118" TargetMode="External"/><Relationship Id="rId103" Type="http://schemas.openxmlformats.org/officeDocument/2006/relationships/hyperlink" Target="https://sciwheel.com/work/bibliography/15956993" TargetMode="External"/><Relationship Id="rId124" Type="http://schemas.openxmlformats.org/officeDocument/2006/relationships/hyperlink" Target="https://sciwheel.com/work/bibliography/25027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13</Pages>
  <Words>5854</Words>
  <Characters>33374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Demirayak, Pinar</cp:lastModifiedBy>
  <cp:revision>6</cp:revision>
  <dcterms:created xsi:type="dcterms:W3CDTF">2025-03-21T16:02:00Z</dcterms:created>
  <dcterms:modified xsi:type="dcterms:W3CDTF">2025-04-03T15:39:00Z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e7542bc-63e5-412b-b0a0-d9586028a7d0_Enabled">
    <vt:lpwstr>true</vt:lpwstr>
  </property>
  <property fmtid="{D5CDD505-2E9C-101B-9397-08002B2CF9AE}" pid="3" name="MSIP_Label_ae7542bc-63e5-412b-b0a0-d9586028a7d0_SetDate">
    <vt:lpwstr>2024-12-09T19:10:40Z</vt:lpwstr>
  </property>
  <property fmtid="{D5CDD505-2E9C-101B-9397-08002B2CF9AE}" pid="4" name="MSIP_Label_ae7542bc-63e5-412b-b0a0-d9586028a7d0_Method">
    <vt:lpwstr>Standard</vt:lpwstr>
  </property>
  <property fmtid="{D5CDD505-2E9C-101B-9397-08002B2CF9AE}" pid="5" name="MSIP_Label_ae7542bc-63e5-412b-b0a0-d9586028a7d0_Name">
    <vt:lpwstr>Sensitive</vt:lpwstr>
  </property>
  <property fmtid="{D5CDD505-2E9C-101B-9397-08002B2CF9AE}" pid="6" name="MSIP_Label_ae7542bc-63e5-412b-b0a0-d9586028a7d0_SiteId">
    <vt:lpwstr>d8999fe4-76af-40b3-b435-1d8977abc08c</vt:lpwstr>
  </property>
  <property fmtid="{D5CDD505-2E9C-101B-9397-08002B2CF9AE}" pid="7" name="MSIP_Label_ae7542bc-63e5-412b-b0a0-d9586028a7d0_ActionId">
    <vt:lpwstr>f9d6a8ad-0928-45d0-8554-c11a3a8b4795</vt:lpwstr>
  </property>
  <property fmtid="{D5CDD505-2E9C-101B-9397-08002B2CF9AE}" pid="8" name="MSIP_Label_ae7542bc-63e5-412b-b0a0-d9586028a7d0_ContentBits">
    <vt:lpwstr>0</vt:lpwstr>
  </property>
</Properties>
</file>