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3BD3C" w14:textId="1734458D" w:rsidR="00DA7F0D" w:rsidRPr="004A512A" w:rsidRDefault="00443A4A" w:rsidP="00631924">
      <w:pPr>
        <w:jc w:val="both"/>
        <w:rPr>
          <w:rFonts w:ascii="Calibri" w:hAnsi="Calibri" w:cs="Calibri"/>
          <w:b/>
          <w:bCs/>
          <w:sz w:val="28"/>
          <w:szCs w:val="28"/>
        </w:rPr>
      </w:pPr>
      <w:r w:rsidRPr="004A512A">
        <w:rPr>
          <w:rFonts w:ascii="Calibri" w:hAnsi="Calibri" w:cs="Calibri"/>
          <w:b/>
          <w:bCs/>
          <w:sz w:val="28"/>
          <w:szCs w:val="28"/>
        </w:rPr>
        <w:t>Supplemental M</w:t>
      </w:r>
      <w:r w:rsidR="00B61337" w:rsidRPr="004A512A">
        <w:rPr>
          <w:rFonts w:ascii="Calibri" w:hAnsi="Calibri" w:cs="Calibri"/>
          <w:b/>
          <w:bCs/>
          <w:sz w:val="28"/>
          <w:szCs w:val="28"/>
        </w:rPr>
        <w:t>ethods</w:t>
      </w:r>
      <w:r w:rsidR="00DA7F0D" w:rsidRPr="004A512A">
        <w:rPr>
          <w:rFonts w:ascii="Calibri" w:hAnsi="Calibri" w:cs="Calibri"/>
          <w:b/>
          <w:bCs/>
          <w:sz w:val="28"/>
          <w:szCs w:val="28"/>
        </w:rPr>
        <w:t xml:space="preserve"> and Buffer Recipes</w:t>
      </w:r>
    </w:p>
    <w:p w14:paraId="660BCB6A" w14:textId="77777777" w:rsidR="003A3970" w:rsidRPr="004A512A" w:rsidRDefault="003A3970" w:rsidP="00631924">
      <w:pPr>
        <w:jc w:val="both"/>
        <w:rPr>
          <w:rFonts w:ascii="Calibri" w:hAnsi="Calibri" w:cs="Calibri"/>
        </w:rPr>
      </w:pPr>
    </w:p>
    <w:sdt>
      <w:sdtPr>
        <w:rPr>
          <w:rFonts w:ascii="Times New Roman" w:eastAsia="Times New Roman" w:hAnsi="Times New Roman" w:cs="Times New Roman"/>
          <w:b w:val="0"/>
          <w:bCs w:val="0"/>
          <w:color w:val="auto"/>
          <w:sz w:val="24"/>
          <w:szCs w:val="24"/>
        </w:rPr>
        <w:id w:val="1997997582"/>
        <w:docPartObj>
          <w:docPartGallery w:val="Table of Contents"/>
          <w:docPartUnique/>
        </w:docPartObj>
      </w:sdtPr>
      <w:sdtEndPr>
        <w:rPr>
          <w:i/>
          <w:iCs/>
          <w:noProof/>
        </w:rPr>
      </w:sdtEndPr>
      <w:sdtContent>
        <w:p w14:paraId="3245AE22" w14:textId="0012B52D" w:rsidR="008D57C6" w:rsidRPr="008D57C6" w:rsidRDefault="008D57C6" w:rsidP="00631924">
          <w:pPr>
            <w:pStyle w:val="TOCHeading"/>
            <w:spacing w:before="0"/>
            <w:jc w:val="both"/>
            <w:rPr>
              <w:rFonts w:ascii="Calibri" w:hAnsi="Calibri" w:cs="Calibri"/>
              <w:color w:val="auto"/>
              <w:sz w:val="24"/>
              <w:szCs w:val="24"/>
            </w:rPr>
          </w:pPr>
          <w:r w:rsidRPr="008D57C6">
            <w:rPr>
              <w:rFonts w:ascii="Calibri" w:hAnsi="Calibri" w:cs="Calibri"/>
              <w:color w:val="auto"/>
              <w:sz w:val="24"/>
              <w:szCs w:val="24"/>
            </w:rPr>
            <w:t>Content</w:t>
          </w:r>
          <w:r>
            <w:rPr>
              <w:rFonts w:ascii="Calibri" w:hAnsi="Calibri" w:cs="Calibri"/>
              <w:color w:val="auto"/>
              <w:sz w:val="24"/>
              <w:szCs w:val="24"/>
            </w:rPr>
            <w:t>s</w:t>
          </w:r>
        </w:p>
        <w:p w14:paraId="0CFD84E9" w14:textId="64EBF25A" w:rsidR="008D57C6" w:rsidRPr="008D57C6" w:rsidRDefault="008D57C6" w:rsidP="00631924">
          <w:pPr>
            <w:pStyle w:val="TOC1"/>
            <w:tabs>
              <w:tab w:val="left" w:pos="480"/>
              <w:tab w:val="right" w:leader="dot" w:pos="9350"/>
            </w:tabs>
            <w:jc w:val="both"/>
            <w:rPr>
              <w:rFonts w:eastAsiaTheme="minorEastAsia" w:cstheme="minorBidi"/>
              <w:b w:val="0"/>
              <w:bCs w:val="0"/>
              <w:noProof/>
              <w:kern w:val="2"/>
              <w14:ligatures w14:val="standardContextual"/>
            </w:rPr>
          </w:pPr>
          <w:r w:rsidRPr="008D57C6">
            <w:rPr>
              <w:b w:val="0"/>
              <w:bCs w:val="0"/>
            </w:rPr>
            <w:fldChar w:fldCharType="begin"/>
          </w:r>
          <w:r w:rsidRPr="008D57C6">
            <w:rPr>
              <w:b w:val="0"/>
              <w:bCs w:val="0"/>
            </w:rPr>
            <w:instrText xml:space="preserve"> TOC \o "1-3" \h \z \u </w:instrText>
          </w:r>
          <w:r w:rsidRPr="008D57C6">
            <w:rPr>
              <w:b w:val="0"/>
              <w:bCs w:val="0"/>
            </w:rPr>
            <w:fldChar w:fldCharType="separate"/>
          </w:r>
          <w:hyperlink w:anchor="_Toc203070172" w:history="1">
            <w:r w:rsidRPr="008D57C6">
              <w:rPr>
                <w:rStyle w:val="Hyperlink"/>
                <w:b w:val="0"/>
                <w:bCs w:val="0"/>
                <w:noProof/>
              </w:rPr>
              <w:t>1.</w:t>
            </w:r>
            <w:r w:rsidRPr="008D57C6">
              <w:rPr>
                <w:rFonts w:eastAsiaTheme="minorEastAsia" w:cstheme="minorBidi"/>
                <w:b w:val="0"/>
                <w:bCs w:val="0"/>
                <w:noProof/>
                <w:kern w:val="2"/>
                <w14:ligatures w14:val="standardContextual"/>
              </w:rPr>
              <w:tab/>
            </w:r>
            <w:r w:rsidRPr="008D57C6">
              <w:rPr>
                <w:rStyle w:val="Hyperlink"/>
                <w:b w:val="0"/>
                <w:bCs w:val="0"/>
                <w:noProof/>
              </w:rPr>
              <w:t>Fixation Methods</w:t>
            </w:r>
            <w:r w:rsidRPr="008D57C6">
              <w:rPr>
                <w:b w:val="0"/>
                <w:bCs w:val="0"/>
                <w:noProof/>
                <w:webHidden/>
              </w:rPr>
              <w:tab/>
            </w:r>
            <w:r w:rsidRPr="008D57C6">
              <w:rPr>
                <w:b w:val="0"/>
                <w:bCs w:val="0"/>
                <w:noProof/>
                <w:webHidden/>
              </w:rPr>
              <w:fldChar w:fldCharType="begin"/>
            </w:r>
            <w:r w:rsidRPr="008D57C6">
              <w:rPr>
                <w:b w:val="0"/>
                <w:bCs w:val="0"/>
                <w:noProof/>
                <w:webHidden/>
              </w:rPr>
              <w:instrText xml:space="preserve"> PAGEREF _Toc203070172 \h </w:instrText>
            </w:r>
            <w:r w:rsidRPr="008D57C6">
              <w:rPr>
                <w:b w:val="0"/>
                <w:bCs w:val="0"/>
                <w:noProof/>
                <w:webHidden/>
              </w:rPr>
            </w:r>
            <w:r w:rsidRPr="008D57C6">
              <w:rPr>
                <w:b w:val="0"/>
                <w:bCs w:val="0"/>
                <w:noProof/>
                <w:webHidden/>
              </w:rPr>
              <w:fldChar w:fldCharType="separate"/>
            </w:r>
            <w:r w:rsidR="00794DFD">
              <w:rPr>
                <w:b w:val="0"/>
                <w:bCs w:val="0"/>
                <w:noProof/>
                <w:webHidden/>
              </w:rPr>
              <w:t>1</w:t>
            </w:r>
            <w:r w:rsidRPr="008D57C6">
              <w:rPr>
                <w:b w:val="0"/>
                <w:bCs w:val="0"/>
                <w:noProof/>
                <w:webHidden/>
              </w:rPr>
              <w:fldChar w:fldCharType="end"/>
            </w:r>
          </w:hyperlink>
        </w:p>
        <w:p w14:paraId="74E0A8BF" w14:textId="647A6EE2" w:rsidR="008D57C6" w:rsidRPr="008D57C6" w:rsidRDefault="008D57C6" w:rsidP="00631924">
          <w:pPr>
            <w:pStyle w:val="TOC1"/>
            <w:tabs>
              <w:tab w:val="left" w:pos="480"/>
              <w:tab w:val="right" w:leader="dot" w:pos="9350"/>
            </w:tabs>
            <w:jc w:val="both"/>
            <w:rPr>
              <w:rFonts w:eastAsiaTheme="minorEastAsia" w:cstheme="minorBidi"/>
              <w:b w:val="0"/>
              <w:bCs w:val="0"/>
              <w:noProof/>
              <w:kern w:val="2"/>
              <w14:ligatures w14:val="standardContextual"/>
            </w:rPr>
          </w:pPr>
          <w:hyperlink w:anchor="_Toc203070173" w:history="1">
            <w:r w:rsidRPr="008D57C6">
              <w:rPr>
                <w:rStyle w:val="Hyperlink"/>
                <w:b w:val="0"/>
                <w:bCs w:val="0"/>
                <w:noProof/>
              </w:rPr>
              <w:t>2.</w:t>
            </w:r>
            <w:r w:rsidRPr="008D57C6">
              <w:rPr>
                <w:rFonts w:eastAsiaTheme="minorEastAsia" w:cstheme="minorBidi"/>
                <w:b w:val="0"/>
                <w:bCs w:val="0"/>
                <w:noProof/>
                <w:kern w:val="2"/>
                <w14:ligatures w14:val="standardContextual"/>
              </w:rPr>
              <w:tab/>
            </w:r>
            <w:r w:rsidRPr="008D57C6">
              <w:rPr>
                <w:rStyle w:val="Hyperlink"/>
                <w:b w:val="0"/>
                <w:bCs w:val="0"/>
                <w:noProof/>
              </w:rPr>
              <w:t>Notes on Fixation Conditions</w:t>
            </w:r>
            <w:r w:rsidRPr="008D57C6">
              <w:rPr>
                <w:b w:val="0"/>
                <w:bCs w:val="0"/>
                <w:noProof/>
                <w:webHidden/>
              </w:rPr>
              <w:tab/>
            </w:r>
            <w:r w:rsidRPr="008D57C6">
              <w:rPr>
                <w:b w:val="0"/>
                <w:bCs w:val="0"/>
                <w:noProof/>
                <w:webHidden/>
              </w:rPr>
              <w:fldChar w:fldCharType="begin"/>
            </w:r>
            <w:r w:rsidRPr="008D57C6">
              <w:rPr>
                <w:b w:val="0"/>
                <w:bCs w:val="0"/>
                <w:noProof/>
                <w:webHidden/>
              </w:rPr>
              <w:instrText xml:space="preserve"> PAGEREF _Toc203070173 \h </w:instrText>
            </w:r>
            <w:r w:rsidRPr="008D57C6">
              <w:rPr>
                <w:b w:val="0"/>
                <w:bCs w:val="0"/>
                <w:noProof/>
                <w:webHidden/>
              </w:rPr>
            </w:r>
            <w:r w:rsidRPr="008D57C6">
              <w:rPr>
                <w:b w:val="0"/>
                <w:bCs w:val="0"/>
                <w:noProof/>
                <w:webHidden/>
              </w:rPr>
              <w:fldChar w:fldCharType="separate"/>
            </w:r>
            <w:r w:rsidR="00794DFD">
              <w:rPr>
                <w:b w:val="0"/>
                <w:bCs w:val="0"/>
                <w:noProof/>
                <w:webHidden/>
              </w:rPr>
              <w:t>2</w:t>
            </w:r>
            <w:r w:rsidRPr="008D57C6">
              <w:rPr>
                <w:b w:val="0"/>
                <w:bCs w:val="0"/>
                <w:noProof/>
                <w:webHidden/>
              </w:rPr>
              <w:fldChar w:fldCharType="end"/>
            </w:r>
          </w:hyperlink>
        </w:p>
        <w:p w14:paraId="69B699E0" w14:textId="39A2EF0A" w:rsidR="008D57C6" w:rsidRPr="008D57C6" w:rsidRDefault="008D57C6" w:rsidP="00631924">
          <w:pPr>
            <w:pStyle w:val="TOC1"/>
            <w:tabs>
              <w:tab w:val="left" w:pos="480"/>
              <w:tab w:val="right" w:leader="dot" w:pos="9350"/>
            </w:tabs>
            <w:jc w:val="both"/>
            <w:rPr>
              <w:rFonts w:eastAsiaTheme="minorEastAsia" w:cstheme="minorBidi"/>
              <w:b w:val="0"/>
              <w:bCs w:val="0"/>
              <w:noProof/>
              <w:kern w:val="2"/>
              <w14:ligatures w14:val="standardContextual"/>
            </w:rPr>
          </w:pPr>
          <w:hyperlink w:anchor="_Toc203070174" w:history="1">
            <w:r w:rsidRPr="008D57C6">
              <w:rPr>
                <w:rStyle w:val="Hyperlink"/>
                <w:b w:val="0"/>
                <w:bCs w:val="0"/>
                <w:noProof/>
              </w:rPr>
              <w:t>3.</w:t>
            </w:r>
            <w:r w:rsidRPr="008D57C6">
              <w:rPr>
                <w:rFonts w:eastAsiaTheme="minorEastAsia" w:cstheme="minorBidi"/>
                <w:b w:val="0"/>
                <w:bCs w:val="0"/>
                <w:noProof/>
                <w:kern w:val="2"/>
                <w14:ligatures w14:val="standardContextual"/>
              </w:rPr>
              <w:tab/>
            </w:r>
            <w:r w:rsidRPr="008D57C6">
              <w:rPr>
                <w:rStyle w:val="Hyperlink"/>
                <w:b w:val="0"/>
                <w:bCs w:val="0"/>
                <w:noProof/>
              </w:rPr>
              <w:t>Antibody staining</w:t>
            </w:r>
            <w:r w:rsidRPr="008D57C6">
              <w:rPr>
                <w:b w:val="0"/>
                <w:bCs w:val="0"/>
                <w:noProof/>
                <w:webHidden/>
              </w:rPr>
              <w:tab/>
            </w:r>
            <w:r w:rsidRPr="008D57C6">
              <w:rPr>
                <w:b w:val="0"/>
                <w:bCs w:val="0"/>
                <w:noProof/>
                <w:webHidden/>
              </w:rPr>
              <w:fldChar w:fldCharType="begin"/>
            </w:r>
            <w:r w:rsidRPr="008D57C6">
              <w:rPr>
                <w:b w:val="0"/>
                <w:bCs w:val="0"/>
                <w:noProof/>
                <w:webHidden/>
              </w:rPr>
              <w:instrText xml:space="preserve"> PAGEREF _Toc203070174 \h </w:instrText>
            </w:r>
            <w:r w:rsidRPr="008D57C6">
              <w:rPr>
                <w:b w:val="0"/>
                <w:bCs w:val="0"/>
                <w:noProof/>
                <w:webHidden/>
              </w:rPr>
            </w:r>
            <w:r w:rsidRPr="008D57C6">
              <w:rPr>
                <w:b w:val="0"/>
                <w:bCs w:val="0"/>
                <w:noProof/>
                <w:webHidden/>
              </w:rPr>
              <w:fldChar w:fldCharType="separate"/>
            </w:r>
            <w:r w:rsidR="00794DFD">
              <w:rPr>
                <w:b w:val="0"/>
                <w:bCs w:val="0"/>
                <w:noProof/>
                <w:webHidden/>
              </w:rPr>
              <w:t>2</w:t>
            </w:r>
            <w:r w:rsidRPr="008D57C6">
              <w:rPr>
                <w:b w:val="0"/>
                <w:bCs w:val="0"/>
                <w:noProof/>
                <w:webHidden/>
              </w:rPr>
              <w:fldChar w:fldCharType="end"/>
            </w:r>
          </w:hyperlink>
        </w:p>
        <w:p w14:paraId="1D3A1532" w14:textId="0011D1CD" w:rsidR="008D57C6" w:rsidRPr="008D57C6" w:rsidRDefault="008D57C6" w:rsidP="00631924">
          <w:pPr>
            <w:pStyle w:val="TOC1"/>
            <w:tabs>
              <w:tab w:val="left" w:pos="480"/>
              <w:tab w:val="right" w:leader="dot" w:pos="9350"/>
            </w:tabs>
            <w:jc w:val="both"/>
            <w:rPr>
              <w:rFonts w:eastAsiaTheme="minorEastAsia" w:cstheme="minorBidi"/>
              <w:b w:val="0"/>
              <w:bCs w:val="0"/>
              <w:noProof/>
              <w:kern w:val="2"/>
              <w14:ligatures w14:val="standardContextual"/>
            </w:rPr>
          </w:pPr>
          <w:hyperlink w:anchor="_Toc203070175" w:history="1">
            <w:r w:rsidRPr="008D57C6">
              <w:rPr>
                <w:rStyle w:val="Hyperlink"/>
                <w:b w:val="0"/>
                <w:bCs w:val="0"/>
                <w:noProof/>
              </w:rPr>
              <w:t>4.</w:t>
            </w:r>
            <w:r w:rsidRPr="008D57C6">
              <w:rPr>
                <w:rFonts w:eastAsiaTheme="minorEastAsia" w:cstheme="minorBidi"/>
                <w:b w:val="0"/>
                <w:bCs w:val="0"/>
                <w:noProof/>
                <w:kern w:val="2"/>
                <w14:ligatures w14:val="standardContextual"/>
              </w:rPr>
              <w:tab/>
            </w:r>
            <w:r w:rsidRPr="008D57C6">
              <w:rPr>
                <w:rStyle w:val="Hyperlink"/>
                <w:b w:val="0"/>
                <w:bCs w:val="0"/>
                <w:noProof/>
                <w:shd w:val="clear" w:color="auto" w:fill="FFFFFF"/>
              </w:rPr>
              <w:t>Mounting Samples on Slides</w:t>
            </w:r>
            <w:r w:rsidRPr="008D57C6">
              <w:rPr>
                <w:b w:val="0"/>
                <w:bCs w:val="0"/>
                <w:noProof/>
                <w:webHidden/>
              </w:rPr>
              <w:tab/>
            </w:r>
            <w:r w:rsidRPr="008D57C6">
              <w:rPr>
                <w:b w:val="0"/>
                <w:bCs w:val="0"/>
                <w:noProof/>
                <w:webHidden/>
              </w:rPr>
              <w:fldChar w:fldCharType="begin"/>
            </w:r>
            <w:r w:rsidRPr="008D57C6">
              <w:rPr>
                <w:b w:val="0"/>
                <w:bCs w:val="0"/>
                <w:noProof/>
                <w:webHidden/>
              </w:rPr>
              <w:instrText xml:space="preserve"> PAGEREF _Toc203070175 \h </w:instrText>
            </w:r>
            <w:r w:rsidRPr="008D57C6">
              <w:rPr>
                <w:b w:val="0"/>
                <w:bCs w:val="0"/>
                <w:noProof/>
                <w:webHidden/>
              </w:rPr>
            </w:r>
            <w:r w:rsidRPr="008D57C6">
              <w:rPr>
                <w:b w:val="0"/>
                <w:bCs w:val="0"/>
                <w:noProof/>
                <w:webHidden/>
              </w:rPr>
              <w:fldChar w:fldCharType="separate"/>
            </w:r>
            <w:r w:rsidR="00794DFD">
              <w:rPr>
                <w:b w:val="0"/>
                <w:bCs w:val="0"/>
                <w:noProof/>
                <w:webHidden/>
              </w:rPr>
              <w:t>3</w:t>
            </w:r>
            <w:r w:rsidRPr="008D57C6">
              <w:rPr>
                <w:b w:val="0"/>
                <w:bCs w:val="0"/>
                <w:noProof/>
                <w:webHidden/>
              </w:rPr>
              <w:fldChar w:fldCharType="end"/>
            </w:r>
          </w:hyperlink>
        </w:p>
        <w:p w14:paraId="584BEB71" w14:textId="78025FB8" w:rsidR="008D57C6" w:rsidRPr="008D57C6" w:rsidRDefault="008D57C6" w:rsidP="00631924">
          <w:pPr>
            <w:pStyle w:val="TOC1"/>
            <w:tabs>
              <w:tab w:val="left" w:pos="480"/>
              <w:tab w:val="right" w:leader="dot" w:pos="9350"/>
            </w:tabs>
            <w:jc w:val="both"/>
            <w:rPr>
              <w:rFonts w:eastAsiaTheme="minorEastAsia" w:cstheme="minorBidi"/>
              <w:b w:val="0"/>
              <w:bCs w:val="0"/>
              <w:noProof/>
              <w:kern w:val="2"/>
              <w14:ligatures w14:val="standardContextual"/>
            </w:rPr>
          </w:pPr>
          <w:hyperlink w:anchor="_Toc203070176" w:history="1">
            <w:r w:rsidRPr="008D57C6">
              <w:rPr>
                <w:rStyle w:val="Hyperlink"/>
                <w:b w:val="0"/>
                <w:bCs w:val="0"/>
                <w:noProof/>
              </w:rPr>
              <w:t>5.</w:t>
            </w:r>
            <w:r w:rsidRPr="008D57C6">
              <w:rPr>
                <w:rFonts w:eastAsiaTheme="minorEastAsia" w:cstheme="minorBidi"/>
                <w:b w:val="0"/>
                <w:bCs w:val="0"/>
                <w:noProof/>
                <w:kern w:val="2"/>
                <w14:ligatures w14:val="standardContextual"/>
              </w:rPr>
              <w:tab/>
            </w:r>
            <w:r w:rsidRPr="008D57C6">
              <w:rPr>
                <w:rStyle w:val="Hyperlink"/>
                <w:b w:val="0"/>
                <w:bCs w:val="0"/>
                <w:noProof/>
              </w:rPr>
              <w:t>Buffer Recipes</w:t>
            </w:r>
            <w:r w:rsidRPr="008D57C6">
              <w:rPr>
                <w:b w:val="0"/>
                <w:bCs w:val="0"/>
                <w:noProof/>
                <w:webHidden/>
              </w:rPr>
              <w:tab/>
            </w:r>
            <w:r w:rsidRPr="008D57C6">
              <w:rPr>
                <w:b w:val="0"/>
                <w:bCs w:val="0"/>
                <w:noProof/>
                <w:webHidden/>
              </w:rPr>
              <w:fldChar w:fldCharType="begin"/>
            </w:r>
            <w:r w:rsidRPr="008D57C6">
              <w:rPr>
                <w:b w:val="0"/>
                <w:bCs w:val="0"/>
                <w:noProof/>
                <w:webHidden/>
              </w:rPr>
              <w:instrText xml:space="preserve"> PAGEREF _Toc203070176 \h </w:instrText>
            </w:r>
            <w:r w:rsidRPr="008D57C6">
              <w:rPr>
                <w:b w:val="0"/>
                <w:bCs w:val="0"/>
                <w:noProof/>
                <w:webHidden/>
              </w:rPr>
            </w:r>
            <w:r w:rsidRPr="008D57C6">
              <w:rPr>
                <w:b w:val="0"/>
                <w:bCs w:val="0"/>
                <w:noProof/>
                <w:webHidden/>
              </w:rPr>
              <w:fldChar w:fldCharType="separate"/>
            </w:r>
            <w:r w:rsidR="00794DFD">
              <w:rPr>
                <w:b w:val="0"/>
                <w:bCs w:val="0"/>
                <w:noProof/>
                <w:webHidden/>
              </w:rPr>
              <w:t>4</w:t>
            </w:r>
            <w:r w:rsidRPr="008D57C6">
              <w:rPr>
                <w:b w:val="0"/>
                <w:bCs w:val="0"/>
                <w:noProof/>
                <w:webHidden/>
              </w:rPr>
              <w:fldChar w:fldCharType="end"/>
            </w:r>
          </w:hyperlink>
        </w:p>
        <w:p w14:paraId="73942471" w14:textId="367B5BA0" w:rsidR="008D57C6" w:rsidRPr="008D57C6" w:rsidRDefault="008D57C6" w:rsidP="00631924">
          <w:pPr>
            <w:pStyle w:val="TOC1"/>
            <w:tabs>
              <w:tab w:val="left" w:pos="480"/>
              <w:tab w:val="right" w:leader="dot" w:pos="9350"/>
            </w:tabs>
            <w:jc w:val="both"/>
            <w:rPr>
              <w:rFonts w:eastAsiaTheme="minorEastAsia" w:cstheme="minorBidi"/>
              <w:b w:val="0"/>
              <w:bCs w:val="0"/>
              <w:noProof/>
              <w:kern w:val="2"/>
              <w14:ligatures w14:val="standardContextual"/>
            </w:rPr>
          </w:pPr>
          <w:hyperlink w:anchor="_Toc203070177" w:history="1">
            <w:r w:rsidRPr="008D57C6">
              <w:rPr>
                <w:rStyle w:val="Hyperlink"/>
                <w:b w:val="0"/>
                <w:bCs w:val="0"/>
                <w:noProof/>
              </w:rPr>
              <w:t>6.</w:t>
            </w:r>
            <w:r w:rsidRPr="008D57C6">
              <w:rPr>
                <w:rFonts w:eastAsiaTheme="minorEastAsia" w:cstheme="minorBidi"/>
                <w:b w:val="0"/>
                <w:bCs w:val="0"/>
                <w:noProof/>
                <w:kern w:val="2"/>
                <w14:ligatures w14:val="standardContextual"/>
              </w:rPr>
              <w:tab/>
            </w:r>
            <w:r w:rsidRPr="008D57C6">
              <w:rPr>
                <w:rStyle w:val="Hyperlink"/>
                <w:b w:val="0"/>
                <w:bCs w:val="0"/>
                <w:noProof/>
              </w:rPr>
              <w:t>Supplemental References</w:t>
            </w:r>
            <w:r w:rsidRPr="008D57C6">
              <w:rPr>
                <w:b w:val="0"/>
                <w:bCs w:val="0"/>
                <w:noProof/>
                <w:webHidden/>
              </w:rPr>
              <w:tab/>
            </w:r>
            <w:r w:rsidRPr="008D57C6">
              <w:rPr>
                <w:b w:val="0"/>
                <w:bCs w:val="0"/>
                <w:noProof/>
                <w:webHidden/>
              </w:rPr>
              <w:fldChar w:fldCharType="begin"/>
            </w:r>
            <w:r w:rsidRPr="008D57C6">
              <w:rPr>
                <w:b w:val="0"/>
                <w:bCs w:val="0"/>
                <w:noProof/>
                <w:webHidden/>
              </w:rPr>
              <w:instrText xml:space="preserve"> PAGEREF _Toc203070177 \h </w:instrText>
            </w:r>
            <w:r w:rsidRPr="008D57C6">
              <w:rPr>
                <w:b w:val="0"/>
                <w:bCs w:val="0"/>
                <w:noProof/>
                <w:webHidden/>
              </w:rPr>
            </w:r>
            <w:r w:rsidRPr="008D57C6">
              <w:rPr>
                <w:b w:val="0"/>
                <w:bCs w:val="0"/>
                <w:noProof/>
                <w:webHidden/>
              </w:rPr>
              <w:fldChar w:fldCharType="separate"/>
            </w:r>
            <w:r w:rsidR="00794DFD">
              <w:rPr>
                <w:b w:val="0"/>
                <w:bCs w:val="0"/>
                <w:noProof/>
                <w:webHidden/>
              </w:rPr>
              <w:t>4</w:t>
            </w:r>
            <w:r w:rsidRPr="008D57C6">
              <w:rPr>
                <w:b w:val="0"/>
                <w:bCs w:val="0"/>
                <w:noProof/>
                <w:webHidden/>
              </w:rPr>
              <w:fldChar w:fldCharType="end"/>
            </w:r>
          </w:hyperlink>
        </w:p>
        <w:p w14:paraId="363626C5" w14:textId="08596B86" w:rsidR="008D57C6" w:rsidRPr="008D57C6" w:rsidRDefault="008D57C6" w:rsidP="00631924">
          <w:pPr>
            <w:jc w:val="both"/>
            <w:rPr>
              <w:i/>
              <w:iCs/>
            </w:rPr>
          </w:pPr>
          <w:r w:rsidRPr="008D57C6">
            <w:rPr>
              <w:i/>
              <w:iCs/>
              <w:noProof/>
            </w:rPr>
            <w:fldChar w:fldCharType="end"/>
          </w:r>
        </w:p>
      </w:sdtContent>
    </w:sdt>
    <w:p w14:paraId="1323AFD1" w14:textId="77777777" w:rsidR="00FD3FEA" w:rsidRPr="004A512A" w:rsidRDefault="00FD3FEA" w:rsidP="00631924">
      <w:pPr>
        <w:jc w:val="both"/>
        <w:rPr>
          <w:rFonts w:ascii="Calibri" w:hAnsi="Calibri" w:cs="Calibri"/>
        </w:rPr>
      </w:pPr>
    </w:p>
    <w:p w14:paraId="71852C8E" w14:textId="4E5C83DD" w:rsidR="00B13164" w:rsidRDefault="007B119F" w:rsidP="00631924">
      <w:pPr>
        <w:pStyle w:val="Heading1JOVE"/>
        <w:numPr>
          <w:ilvl w:val="0"/>
          <w:numId w:val="9"/>
        </w:numPr>
        <w:spacing w:before="0"/>
      </w:pPr>
      <w:bookmarkStart w:id="0" w:name="_Toc203070172"/>
      <w:r w:rsidRPr="004B591F">
        <w:t>Fixation Methods</w:t>
      </w:r>
      <w:bookmarkEnd w:id="0"/>
      <w:r w:rsidRPr="004B591F">
        <w:t xml:space="preserve"> </w:t>
      </w:r>
    </w:p>
    <w:p w14:paraId="5D4AB7AB" w14:textId="77777777" w:rsidR="00D03182" w:rsidRPr="00D03182" w:rsidRDefault="00D03182" w:rsidP="00631924">
      <w:pPr>
        <w:jc w:val="both"/>
      </w:pPr>
    </w:p>
    <w:p w14:paraId="38E5B482" w14:textId="62420AD8" w:rsidR="0068114A" w:rsidRPr="004A512A" w:rsidRDefault="007B119F" w:rsidP="00631924">
      <w:pPr>
        <w:jc w:val="both"/>
        <w:rPr>
          <w:rFonts w:ascii="Calibri" w:hAnsi="Calibri" w:cs="Calibri"/>
        </w:rPr>
      </w:pPr>
      <w:r w:rsidRPr="004A512A">
        <w:rPr>
          <w:rFonts w:ascii="Calibri" w:hAnsi="Calibri" w:cs="Calibri"/>
        </w:rPr>
        <w:t xml:space="preserve">The </w:t>
      </w:r>
      <w:r w:rsidR="0062605D" w:rsidRPr="004A512A">
        <w:rPr>
          <w:rFonts w:ascii="Calibri" w:hAnsi="Calibri" w:cs="Calibri"/>
        </w:rPr>
        <w:t>IFM dissection methods presented in this protocol are compatible</w:t>
      </w:r>
      <w:r w:rsidRPr="004A512A">
        <w:rPr>
          <w:rFonts w:ascii="Calibri" w:hAnsi="Calibri" w:cs="Calibri"/>
        </w:rPr>
        <w:t xml:space="preserve"> with different fixation techniques.</w:t>
      </w:r>
      <w:r w:rsidR="0062605D" w:rsidRPr="004A512A">
        <w:rPr>
          <w:rFonts w:ascii="Calibri" w:hAnsi="Calibri" w:cs="Calibri"/>
        </w:rPr>
        <w:t xml:space="preserve"> Different experiments or specific antibodies or stains may require distinct fixatives.</w:t>
      </w:r>
      <w:r w:rsidRPr="004A512A">
        <w:rPr>
          <w:rFonts w:ascii="Calibri" w:hAnsi="Calibri" w:cs="Calibri"/>
        </w:rPr>
        <w:t xml:space="preserve"> </w:t>
      </w:r>
      <w:r w:rsidR="00443A4A" w:rsidRPr="004A512A">
        <w:rPr>
          <w:rFonts w:ascii="Calibri" w:hAnsi="Calibri" w:cs="Calibri"/>
        </w:rPr>
        <w:t>After following the dissection protocol presented in the main text, the samples can be fixed using any of the following fixation methods.</w:t>
      </w:r>
      <w:r w:rsidR="00E06350" w:rsidRPr="004A512A">
        <w:rPr>
          <w:rFonts w:ascii="Calibri" w:hAnsi="Calibri" w:cs="Calibri"/>
        </w:rPr>
        <w:t xml:space="preserve"> Additional fixatives not mentioned below, including those used for electron microscopy, are also compatible with both hemi-thorax and open-book dissections.</w:t>
      </w:r>
      <w:r w:rsidR="0096571B" w:rsidRPr="004A512A">
        <w:rPr>
          <w:rFonts w:ascii="Calibri" w:hAnsi="Calibri" w:cs="Calibri"/>
        </w:rPr>
        <w:t xml:space="preserve"> </w:t>
      </w:r>
      <w:r w:rsidR="00077720">
        <w:rPr>
          <w:rFonts w:ascii="Calibri" w:hAnsi="Calibri" w:cs="Calibri"/>
        </w:rPr>
        <w:t>T</w:t>
      </w:r>
      <w:r w:rsidR="0096571B" w:rsidRPr="004A512A">
        <w:rPr>
          <w:rFonts w:ascii="Calibri" w:hAnsi="Calibri" w:cs="Calibri"/>
        </w:rPr>
        <w:t xml:space="preserve">he fixation methods used to generate the samples </w:t>
      </w:r>
      <w:r w:rsidR="00077720">
        <w:rPr>
          <w:rFonts w:ascii="Calibri" w:hAnsi="Calibri" w:cs="Calibri"/>
        </w:rPr>
        <w:t xml:space="preserve">are </w:t>
      </w:r>
      <w:r w:rsidR="00B77423" w:rsidRPr="004A512A">
        <w:rPr>
          <w:rFonts w:ascii="Calibri" w:hAnsi="Calibri" w:cs="Calibri"/>
        </w:rPr>
        <w:t>presented as representative data in</w:t>
      </w:r>
      <w:r w:rsidR="0096571B" w:rsidRPr="004A512A">
        <w:rPr>
          <w:rFonts w:ascii="Calibri" w:hAnsi="Calibri" w:cs="Calibri"/>
        </w:rPr>
        <w:t xml:space="preserve"> Figure</w:t>
      </w:r>
      <w:r w:rsidR="00077720">
        <w:rPr>
          <w:rFonts w:ascii="Calibri" w:hAnsi="Calibri" w:cs="Calibri"/>
        </w:rPr>
        <w:t>s</w:t>
      </w:r>
      <w:r w:rsidR="0096571B" w:rsidRPr="004A512A">
        <w:rPr>
          <w:rFonts w:ascii="Calibri" w:hAnsi="Calibri" w:cs="Calibri"/>
        </w:rPr>
        <w:t xml:space="preserve"> 5</w:t>
      </w:r>
      <w:r w:rsidR="00241FE8" w:rsidRPr="004A512A">
        <w:rPr>
          <w:rFonts w:ascii="Calibri" w:hAnsi="Calibri" w:cs="Calibri"/>
        </w:rPr>
        <w:t xml:space="preserve"> and 6</w:t>
      </w:r>
      <w:r w:rsidR="0096571B" w:rsidRPr="004A512A">
        <w:rPr>
          <w:rFonts w:ascii="Calibri" w:hAnsi="Calibri" w:cs="Calibri"/>
        </w:rPr>
        <w:t>.</w:t>
      </w:r>
      <w:r w:rsidR="007825A0" w:rsidRPr="004A512A">
        <w:rPr>
          <w:rFonts w:ascii="Calibri" w:hAnsi="Calibri" w:cs="Calibri"/>
        </w:rPr>
        <w:t xml:space="preserve"> Buffer recipes are included near the end.</w:t>
      </w:r>
    </w:p>
    <w:p w14:paraId="40E4A34D" w14:textId="77777777" w:rsidR="00443A4A" w:rsidRDefault="00443A4A" w:rsidP="00631924">
      <w:pPr>
        <w:jc w:val="both"/>
        <w:rPr>
          <w:rFonts w:ascii="Calibri" w:hAnsi="Calibri" w:cs="Calibri"/>
        </w:rPr>
      </w:pPr>
    </w:p>
    <w:p w14:paraId="5CE80CB6" w14:textId="7A372B5B" w:rsidR="00BF084A" w:rsidRPr="00D74CC4" w:rsidRDefault="00BF084A" w:rsidP="00631924">
      <w:pPr>
        <w:pStyle w:val="ListParagraph"/>
        <w:widowControl w:val="0"/>
        <w:numPr>
          <w:ilvl w:val="1"/>
          <w:numId w:val="9"/>
        </w:numPr>
        <w:autoSpaceDE w:val="0"/>
        <w:autoSpaceDN w:val="0"/>
        <w:adjustRightInd w:val="0"/>
        <w:spacing w:after="200" w:line="276" w:lineRule="auto"/>
        <w:jc w:val="both"/>
        <w:rPr>
          <w:rFonts w:ascii="Calibri" w:hAnsi="Calibri" w:cs="Calibri"/>
          <w:color w:val="000000" w:themeColor="text1"/>
          <w:u w:val="single"/>
        </w:rPr>
      </w:pPr>
      <w:r w:rsidRPr="00660C7B">
        <w:rPr>
          <w:rFonts w:ascii="Calibri" w:hAnsi="Calibri" w:cs="Calibri"/>
          <w:color w:val="000000" w:themeColor="text1"/>
          <w:u w:val="single"/>
        </w:rPr>
        <w:t>4% PFA in PBS (phosphate buffered saline)</w:t>
      </w:r>
      <w:r w:rsidRPr="00660C7B">
        <w:rPr>
          <w:rFonts w:ascii="Calibri" w:hAnsi="Calibri" w:cs="Calibri"/>
          <w:color w:val="000000" w:themeColor="text1"/>
        </w:rPr>
        <w:t xml:space="preserve">. 8% PFA was diluted to 4% directly before use. Thoraces were fixed for 30 </w:t>
      </w:r>
      <w:r w:rsidR="00077720">
        <w:rPr>
          <w:rFonts w:ascii="Calibri" w:hAnsi="Calibri" w:cs="Calibri"/>
          <w:color w:val="000000" w:themeColor="text1"/>
        </w:rPr>
        <w:t>min</w:t>
      </w:r>
      <w:r w:rsidRPr="00660C7B">
        <w:rPr>
          <w:rFonts w:ascii="Calibri" w:hAnsi="Calibri" w:cs="Calibri"/>
          <w:color w:val="000000" w:themeColor="text1"/>
        </w:rPr>
        <w:t xml:space="preserve"> in 4% PFA in 0.01% PBS-T at room temperature on a nutator. After fixation, samples were washed three times 10 </w:t>
      </w:r>
      <w:r w:rsidR="00077720">
        <w:rPr>
          <w:rFonts w:ascii="Calibri" w:hAnsi="Calibri" w:cs="Calibri"/>
          <w:color w:val="000000" w:themeColor="text1"/>
        </w:rPr>
        <w:t>min</w:t>
      </w:r>
      <w:r w:rsidRPr="00660C7B">
        <w:rPr>
          <w:rFonts w:ascii="Calibri" w:hAnsi="Calibri" w:cs="Calibri"/>
          <w:color w:val="000000" w:themeColor="text1"/>
        </w:rPr>
        <w:t xml:space="preserve"> in 0.01% PBS-T. Samples were then cut with a cryostat blade. </w:t>
      </w:r>
    </w:p>
    <w:p w14:paraId="0424F568" w14:textId="77777777" w:rsidR="00D74CC4" w:rsidRPr="00660C7B" w:rsidRDefault="00D74CC4" w:rsidP="00D74CC4">
      <w:pPr>
        <w:pStyle w:val="ListParagraph"/>
        <w:widowControl w:val="0"/>
        <w:autoSpaceDE w:val="0"/>
        <w:autoSpaceDN w:val="0"/>
        <w:adjustRightInd w:val="0"/>
        <w:spacing w:after="200" w:line="276" w:lineRule="auto"/>
        <w:ind w:left="420"/>
        <w:jc w:val="both"/>
        <w:rPr>
          <w:rFonts w:ascii="Calibri" w:hAnsi="Calibri" w:cs="Calibri"/>
          <w:color w:val="000000" w:themeColor="text1"/>
          <w:u w:val="single"/>
        </w:rPr>
      </w:pPr>
    </w:p>
    <w:p w14:paraId="71CCE556" w14:textId="5FFC9E21" w:rsidR="00BF084A" w:rsidRPr="00D74CC4" w:rsidRDefault="00BF084A" w:rsidP="00631924">
      <w:pPr>
        <w:pStyle w:val="ListParagraph"/>
        <w:widowControl w:val="0"/>
        <w:numPr>
          <w:ilvl w:val="1"/>
          <w:numId w:val="9"/>
        </w:numPr>
        <w:autoSpaceDE w:val="0"/>
        <w:autoSpaceDN w:val="0"/>
        <w:adjustRightInd w:val="0"/>
        <w:spacing w:after="200" w:line="276" w:lineRule="auto"/>
        <w:jc w:val="both"/>
        <w:rPr>
          <w:rFonts w:ascii="Calibri" w:hAnsi="Calibri" w:cs="Calibri"/>
          <w:color w:val="000000" w:themeColor="text1"/>
          <w:u w:val="single"/>
        </w:rPr>
      </w:pPr>
      <w:r w:rsidRPr="00660C7B">
        <w:rPr>
          <w:rFonts w:ascii="Calibri" w:hAnsi="Calibri" w:cs="Calibri"/>
          <w:color w:val="000000" w:themeColor="text1"/>
          <w:u w:val="single"/>
        </w:rPr>
        <w:t>4% PFA in RS (relaxing solution)</w:t>
      </w:r>
      <w:r w:rsidRPr="00660C7B">
        <w:rPr>
          <w:rFonts w:ascii="Calibri" w:hAnsi="Calibri" w:cs="Calibri"/>
          <w:color w:val="000000" w:themeColor="text1"/>
        </w:rPr>
        <w:t>. Relaxing solution is an alternative to PBS used to preserve sarcomeres in their relaxed state</w:t>
      </w:r>
      <w:r w:rsidRPr="00660C7B">
        <w:rPr>
          <w:rFonts w:ascii="Calibri" w:hAnsi="Calibri" w:cs="Calibri"/>
          <w:color w:val="000000" w:themeColor="text1"/>
        </w:rPr>
        <w:fldChar w:fldCharType="begin"/>
      </w:r>
      <w:r w:rsidRPr="00660C7B">
        <w:rPr>
          <w:rFonts w:ascii="Calibri" w:hAnsi="Calibri" w:cs="Calibri"/>
          <w:color w:val="000000" w:themeColor="text1"/>
        </w:rPr>
        <w:instrText xml:space="preserve"> ADDIN ZOTERO_ITEM CSL_CITATION {"citationID":"uhl8gj5Z","properties":{"formattedCitation":"\\super 1, 2\\nosupersub{}","plainCitation":"1, 2","noteIndex":0},"citationItems":[{"id":2968,"uris":["http://zotero.org/users/10474248/items/GQX3PXGW"],"itemData":{"id":2968,"type":"article-journal","abstract":"The development and molecular composition of muscle tissue is evolutionarily conserved. Drosophila is a powerful in vivo model system to investigate muscle morphogenesis and function. Here, we provide a short and comprehensive overview of the important developmental steps to build Drosophila body muscle in embryos, larvae and pupae. We describe key methods, including muscle histology, live imaging and genetics, to study these steps at various developmental stages and include simple behavioural assays to assess muscle function in larvae and adults. We list valuable antibodies and fly strains that can be used for these different methods. This overview should guide the reader to choose the best marker or the appropriate method to obtain high quality muscle morphogenesis data in Drosophila.","container-title":"Methods (San Diego, Calif.)","DOI":"10.1016/j.ymeth.2014.02.037","ISSN":"1095-9130","issue":"1","journalAbbreviation":"Methods","language":"eng","note":"PMID: 24625467","page":"2-14","source":"PubMed","title":"A guide to study Drosophila muscle biology","volume":"68","author":[{"family":"Weitkunat","given":"Manuela"},{"family":"Schnorrer","given":"Frank"}],"issued":{"date-parts":[["2014",6,15]]}}},{"id":3020,"uris":["http://zotero.org/users/10474248/items/Y85C7388"],"itemData":{"id":3020,"type":"article-journal","abstract":"Flying insects oscillate their wings at high frequencies of up to 1,000 Hz and produce large mechanical forces of 80 W per kilogram of muscle. They utilize a pair of perpendicularly oriented indirect flight muscles that contain fibrillar, stretch-activated myofibres. In contrast, all other, more slowly contracting, insect body muscles have a tubular muscle morphology. Here we identify the transcription factor Spalt major (Salm) as a master regulator of fibrillar flight muscle fate in Drosophila. salm is necessary and sufficient to induce fibrillar muscle fate. salm switches the entire transcriptional program from tubular to fibrillar fate by regulating the expression and splicing of key sarcomeric components specific to each muscle type. Spalt function is conserved in insects evolutionarily separated by 280 million years. We propose that Spalt proteins switch myofibres from tubular to fibrillar fate during development, a function potentially conserved in the vertebrate heart--a stretch-activated muscle sharing features with insect flight muscle.","container-title":"Nature","DOI":"10.1038/nature10559","ISSN":"1476-4687","issue":"7373","journalAbbreviation":"Nature","language":"eng","note":"PMID: 22094701","page":"406-409","source":"PubMed","title":"Spalt mediates an evolutionarily conserved switch to fibrillar muscle fate in insects","volume":"479","author":[{"family":"Schönbauer","given":"Cornelia"},{"family":"Distler","given":"Jutta"},{"family":"Jährling","given":"Nina"},{"family":"Radolf","given":"Martin"},{"family":"Dodt","given":"Hans-Ulrich"},{"family":"Frasch","given":"Manfred"},{"family":"Schnorrer","given":"Frank"}],"issued":{"date-parts":[["2011",11,16]]}}}],"schema":"https://github.com/citation-style-language/schema/raw/master/csl-citation.json"} </w:instrText>
      </w:r>
      <w:r w:rsidRPr="00660C7B">
        <w:rPr>
          <w:rFonts w:ascii="Calibri" w:hAnsi="Calibri" w:cs="Calibri"/>
          <w:color w:val="000000" w:themeColor="text1"/>
        </w:rPr>
        <w:fldChar w:fldCharType="separate"/>
      </w:r>
      <w:r w:rsidRPr="00660C7B">
        <w:rPr>
          <w:rFonts w:ascii="Calibri" w:hAnsi="Calibri" w:cs="Calibri"/>
          <w:color w:val="000000" w:themeColor="text1"/>
          <w:vertAlign w:val="superscript"/>
        </w:rPr>
        <w:t>1, 2</w:t>
      </w:r>
      <w:r w:rsidRPr="00660C7B">
        <w:rPr>
          <w:rFonts w:ascii="Calibri" w:hAnsi="Calibri" w:cs="Calibri"/>
          <w:color w:val="000000" w:themeColor="text1"/>
        </w:rPr>
        <w:fldChar w:fldCharType="end"/>
      </w:r>
      <w:r w:rsidRPr="00660C7B">
        <w:rPr>
          <w:rFonts w:ascii="Calibri" w:hAnsi="Calibri" w:cs="Calibri"/>
          <w:color w:val="000000" w:themeColor="text1"/>
        </w:rPr>
        <w:t>. Thoraces were fixed in 4% PFA in relaxing solution (20 mM NaH</w:t>
      </w:r>
      <w:r w:rsidRPr="00660C7B">
        <w:rPr>
          <w:rFonts w:ascii="Calibri" w:hAnsi="Calibri" w:cs="Calibri"/>
          <w:color w:val="000000" w:themeColor="text1"/>
          <w:vertAlign w:val="subscript"/>
        </w:rPr>
        <w:t>2</w:t>
      </w:r>
      <w:r w:rsidRPr="00660C7B">
        <w:rPr>
          <w:rFonts w:ascii="Calibri" w:hAnsi="Calibri" w:cs="Calibri"/>
          <w:color w:val="000000" w:themeColor="text1"/>
        </w:rPr>
        <w:t>PO</w:t>
      </w:r>
      <w:r w:rsidRPr="00660C7B">
        <w:rPr>
          <w:rFonts w:ascii="Calibri" w:hAnsi="Calibri" w:cs="Calibri"/>
          <w:color w:val="000000" w:themeColor="text1"/>
          <w:vertAlign w:val="subscript"/>
        </w:rPr>
        <w:t>4</w:t>
      </w:r>
      <w:r w:rsidRPr="00660C7B">
        <w:rPr>
          <w:rFonts w:ascii="Calibri" w:hAnsi="Calibri" w:cs="Calibri"/>
          <w:color w:val="000000" w:themeColor="text1"/>
        </w:rPr>
        <w:t>, 8 mM MgCl</w:t>
      </w:r>
      <w:r w:rsidRPr="00660C7B">
        <w:rPr>
          <w:rFonts w:ascii="Calibri" w:hAnsi="Calibri" w:cs="Calibri"/>
          <w:color w:val="000000" w:themeColor="text1"/>
          <w:vertAlign w:val="subscript"/>
        </w:rPr>
        <w:t>2</w:t>
      </w:r>
      <w:r w:rsidRPr="00660C7B">
        <w:rPr>
          <w:rFonts w:ascii="Calibri" w:hAnsi="Calibri" w:cs="Calibri"/>
          <w:color w:val="000000" w:themeColor="text1"/>
        </w:rPr>
        <w:t xml:space="preserve">, 5 mM ATP, 5 mM EGTA, 0.1% Triton X-100) made day of use.  Samples were fixed for 30 </w:t>
      </w:r>
      <w:r w:rsidR="00077720">
        <w:rPr>
          <w:rFonts w:ascii="Calibri" w:hAnsi="Calibri" w:cs="Calibri"/>
          <w:color w:val="000000" w:themeColor="text1"/>
        </w:rPr>
        <w:t>min</w:t>
      </w:r>
      <w:r w:rsidRPr="00660C7B">
        <w:rPr>
          <w:rFonts w:ascii="Calibri" w:hAnsi="Calibri" w:cs="Calibri"/>
          <w:color w:val="000000" w:themeColor="text1"/>
        </w:rPr>
        <w:t xml:space="preserve"> at room temperature on a nutator and then washed three times in relaxing solution before hemithorax dissection</w:t>
      </w:r>
    </w:p>
    <w:p w14:paraId="5B7379C0" w14:textId="77777777" w:rsidR="00D74CC4" w:rsidRPr="00660C7B" w:rsidRDefault="00D74CC4" w:rsidP="00D74CC4">
      <w:pPr>
        <w:pStyle w:val="ListParagraph"/>
        <w:widowControl w:val="0"/>
        <w:autoSpaceDE w:val="0"/>
        <w:autoSpaceDN w:val="0"/>
        <w:adjustRightInd w:val="0"/>
        <w:spacing w:after="200" w:line="276" w:lineRule="auto"/>
        <w:ind w:left="420"/>
        <w:jc w:val="both"/>
        <w:rPr>
          <w:rFonts w:ascii="Calibri" w:hAnsi="Calibri" w:cs="Calibri"/>
          <w:color w:val="000000" w:themeColor="text1"/>
          <w:u w:val="single"/>
        </w:rPr>
      </w:pPr>
    </w:p>
    <w:p w14:paraId="3232EC74" w14:textId="11828D26" w:rsidR="00D74CC4" w:rsidRPr="00D74CC4" w:rsidRDefault="00BF084A" w:rsidP="00D74CC4">
      <w:pPr>
        <w:pStyle w:val="ListParagraph"/>
        <w:widowControl w:val="0"/>
        <w:numPr>
          <w:ilvl w:val="1"/>
          <w:numId w:val="9"/>
        </w:numPr>
        <w:autoSpaceDE w:val="0"/>
        <w:autoSpaceDN w:val="0"/>
        <w:adjustRightInd w:val="0"/>
        <w:spacing w:after="200" w:line="276" w:lineRule="auto"/>
        <w:jc w:val="both"/>
        <w:rPr>
          <w:rFonts w:ascii="Calibri" w:hAnsi="Calibri" w:cs="Calibri"/>
          <w:color w:val="000000" w:themeColor="text1"/>
          <w:u w:val="single"/>
        </w:rPr>
      </w:pPr>
      <w:r w:rsidRPr="00660C7B">
        <w:rPr>
          <w:rFonts w:ascii="Calibri" w:hAnsi="Calibri" w:cs="Calibri"/>
          <w:color w:val="000000" w:themeColor="text1"/>
          <w:u w:val="single"/>
        </w:rPr>
        <w:t>Me</w:t>
      </w:r>
      <w:r w:rsidR="004806CD" w:rsidRPr="00660C7B">
        <w:rPr>
          <w:rFonts w:ascii="Calibri" w:hAnsi="Calibri" w:cs="Calibri"/>
          <w:color w:val="000000" w:themeColor="text1"/>
          <w:u w:val="single"/>
        </w:rPr>
        <w:t>thanol</w:t>
      </w:r>
      <w:r w:rsidRPr="00660C7B">
        <w:rPr>
          <w:rFonts w:ascii="Calibri" w:hAnsi="Calibri" w:cs="Calibri"/>
          <w:color w:val="000000" w:themeColor="text1"/>
          <w:u w:val="single"/>
        </w:rPr>
        <w:t xml:space="preserve"> fixation</w:t>
      </w:r>
      <w:r w:rsidRPr="00660C7B">
        <w:rPr>
          <w:rFonts w:ascii="Calibri" w:hAnsi="Calibri" w:cs="Calibri"/>
          <w:color w:val="000000" w:themeColor="text1"/>
        </w:rPr>
        <w:t xml:space="preserve">. Thoraces were fixed for 15 </w:t>
      </w:r>
      <w:r w:rsidR="00077720">
        <w:rPr>
          <w:rFonts w:ascii="Calibri" w:hAnsi="Calibri" w:cs="Calibri"/>
          <w:color w:val="000000" w:themeColor="text1"/>
        </w:rPr>
        <w:t>min</w:t>
      </w:r>
      <w:r w:rsidRPr="00660C7B">
        <w:rPr>
          <w:rFonts w:ascii="Calibri" w:hAnsi="Calibri" w:cs="Calibri"/>
          <w:color w:val="000000" w:themeColor="text1"/>
        </w:rPr>
        <w:t xml:space="preserve"> in prechilled (-20</w:t>
      </w:r>
      <w:r w:rsidRPr="00BF084A">
        <w:sym w:font="Symbol" w:char="F0B0"/>
      </w:r>
      <w:r w:rsidRPr="00660C7B">
        <w:rPr>
          <w:rFonts w:ascii="Calibri" w:hAnsi="Calibri" w:cs="Calibri"/>
          <w:color w:val="000000" w:themeColor="text1"/>
        </w:rPr>
        <w:t xml:space="preserve">C) methanol with gentle rocking every 5 </w:t>
      </w:r>
      <w:r w:rsidR="00077720">
        <w:rPr>
          <w:rFonts w:ascii="Calibri" w:hAnsi="Calibri" w:cs="Calibri"/>
          <w:color w:val="000000" w:themeColor="text1"/>
        </w:rPr>
        <w:t>min</w:t>
      </w:r>
      <w:r w:rsidRPr="00660C7B">
        <w:rPr>
          <w:rFonts w:ascii="Calibri" w:hAnsi="Calibri" w:cs="Calibri"/>
          <w:color w:val="000000" w:themeColor="text1"/>
        </w:rPr>
        <w:t>. After removing methanol, thoraces were put in 0.01% PBS-T at room temperature.</w:t>
      </w:r>
    </w:p>
    <w:p w14:paraId="79AB0D87" w14:textId="77777777" w:rsidR="00D74CC4" w:rsidRPr="00660C7B" w:rsidRDefault="00D74CC4" w:rsidP="00D74CC4">
      <w:pPr>
        <w:pStyle w:val="ListParagraph"/>
        <w:widowControl w:val="0"/>
        <w:autoSpaceDE w:val="0"/>
        <w:autoSpaceDN w:val="0"/>
        <w:adjustRightInd w:val="0"/>
        <w:spacing w:after="200" w:line="276" w:lineRule="auto"/>
        <w:ind w:left="420"/>
        <w:jc w:val="both"/>
        <w:rPr>
          <w:rFonts w:ascii="Calibri" w:hAnsi="Calibri" w:cs="Calibri"/>
          <w:color w:val="000000" w:themeColor="text1"/>
          <w:u w:val="single"/>
        </w:rPr>
      </w:pPr>
    </w:p>
    <w:p w14:paraId="53875A8A" w14:textId="47DB5F90" w:rsidR="00BF084A" w:rsidRPr="00D74CC4" w:rsidRDefault="00BF084A" w:rsidP="00631924">
      <w:pPr>
        <w:pStyle w:val="ListParagraph"/>
        <w:widowControl w:val="0"/>
        <w:numPr>
          <w:ilvl w:val="1"/>
          <w:numId w:val="9"/>
        </w:numPr>
        <w:autoSpaceDE w:val="0"/>
        <w:autoSpaceDN w:val="0"/>
        <w:adjustRightInd w:val="0"/>
        <w:spacing w:after="200" w:line="276" w:lineRule="auto"/>
        <w:jc w:val="both"/>
        <w:rPr>
          <w:rFonts w:ascii="Calibri" w:hAnsi="Calibri" w:cs="Calibri"/>
          <w:color w:val="000000" w:themeColor="text1"/>
          <w:u w:val="single"/>
        </w:rPr>
      </w:pPr>
      <w:r w:rsidRPr="00660C7B">
        <w:rPr>
          <w:rFonts w:ascii="Calibri" w:hAnsi="Calibri" w:cs="Calibri"/>
          <w:color w:val="000000" w:themeColor="text1"/>
          <w:u w:val="single"/>
        </w:rPr>
        <w:t>Glyoxal fixation</w:t>
      </w:r>
      <w:r w:rsidRPr="00660C7B">
        <w:rPr>
          <w:rFonts w:ascii="Calibri" w:hAnsi="Calibri" w:cs="Calibri"/>
          <w:color w:val="000000" w:themeColor="text1"/>
        </w:rPr>
        <w:t xml:space="preserve">. Glyoxal fixation was </w:t>
      </w:r>
      <w:r w:rsidR="00B95293">
        <w:rPr>
          <w:rFonts w:ascii="Calibri" w:hAnsi="Calibri" w:cs="Calibri"/>
          <w:color w:val="000000" w:themeColor="text1"/>
        </w:rPr>
        <w:t>implemented</w:t>
      </w:r>
      <w:r w:rsidRPr="00660C7B">
        <w:rPr>
          <w:rFonts w:ascii="Calibri" w:hAnsi="Calibri" w:cs="Calibri"/>
          <w:color w:val="000000" w:themeColor="text1"/>
        </w:rPr>
        <w:t xml:space="preserve"> based on Konno et al</w:t>
      </w:r>
      <w:r w:rsidRPr="00660C7B">
        <w:rPr>
          <w:rFonts w:ascii="Calibri" w:hAnsi="Calibri" w:cs="Calibri"/>
          <w:color w:val="000000" w:themeColor="text1"/>
        </w:rPr>
        <w:fldChar w:fldCharType="begin"/>
      </w:r>
      <w:r w:rsidRPr="00660C7B">
        <w:rPr>
          <w:rFonts w:ascii="Calibri" w:hAnsi="Calibri" w:cs="Calibri"/>
          <w:color w:val="000000" w:themeColor="text1"/>
        </w:rPr>
        <w:instrText xml:space="preserve"> ADDIN ZOTERO_ITEM CSL_CITATION {"citationID":"Q9LugEJZ","properties":{"formattedCitation":"\\super 3\\nosupersub{}","plainCitation":"3","noteIndex":0},"citationItems":[{"id":3022,"uris":["http://zotero.org/users/10474248/items/C5ACZNPC"],"itemData":{"id":3022,"type":"article-journal","abstract":"The gold-standard fixative for immunohistochemistry is 4% formaldehyde; however, it limits antibody access to target molecules that are buried within specialized neuronal components, such as ionotropic receptors at the postsynapse and voltage-gated ion channels at the axon initial segment, often requiring additional antigen-exposing techniques to detect their authentic signals. To solve this problem, we used glyoxal, a two-carbon atom di-aldehyde. We found that glyoxal fixation greatly improved antibody penetration and immunoreactivity, uncovering signals for buried molecules by conventional immunohistochemical procedures at light and electron microscopic levels. It also enhanced immunosignals of most other molecules, which are known to be detectable in formaldehyde-fixed sections. Furthermore, we unearthed several specific primary antibodies that were once judged to be unusable in formaldehyde-fixed tissues, allowing us to successfully localize so far controversial synaptic adhesion molecule Neuroligin 1. Thus, glyoxal is a highly effective fixative for immunostaining, and a side-by-side comparison of glyoxal and formaldehyde fixation is recommended for routine immunostaining in neuroscience research.","container-title":"Science Advances","DOI":"10.1126/sciadv.adf7084","ISSN":"2375-2548","issue":"28","journalAbbreviation":"Sci Adv","language":"eng","note":"PMID: 37450597\nPMCID: PMC10348680","page":"eadf7084","source":"PubMed","title":"Glyoxal fixation: An approach to solve immunohistochemical problem in neuroscience research","title-short":"Glyoxal fixation","volume":"9","author":[{"family":"Konno","given":"Kohtarou"},{"family":"Yamasaki","given":"Miwako"},{"family":"Miyazaki","given":"Taisuke"},{"family":"Watanabe","given":"Masahiko"}],"issued":{"date-parts":[["2023",7,14]]}}}],"schema":"https://github.com/citation-style-language/schema/raw/master/csl-citation.json"} </w:instrText>
      </w:r>
      <w:r w:rsidRPr="00660C7B">
        <w:rPr>
          <w:rFonts w:ascii="Calibri" w:hAnsi="Calibri" w:cs="Calibri"/>
          <w:color w:val="000000" w:themeColor="text1"/>
        </w:rPr>
        <w:fldChar w:fldCharType="separate"/>
      </w:r>
      <w:r w:rsidRPr="00660C7B">
        <w:rPr>
          <w:rFonts w:ascii="Calibri" w:hAnsi="Calibri" w:cs="Calibri"/>
          <w:color w:val="000000" w:themeColor="text1"/>
          <w:vertAlign w:val="superscript"/>
        </w:rPr>
        <w:t>3</w:t>
      </w:r>
      <w:r w:rsidRPr="00660C7B">
        <w:rPr>
          <w:rFonts w:ascii="Calibri" w:hAnsi="Calibri" w:cs="Calibri"/>
          <w:color w:val="000000" w:themeColor="text1"/>
        </w:rPr>
        <w:fldChar w:fldCharType="end"/>
      </w:r>
      <w:r w:rsidRPr="00660C7B">
        <w:rPr>
          <w:rFonts w:ascii="Calibri" w:hAnsi="Calibri" w:cs="Calibri"/>
          <w:color w:val="000000" w:themeColor="text1"/>
        </w:rPr>
        <w:t>. Thoraces were fixed overnight at 4</w:t>
      </w:r>
      <w:r w:rsidRPr="00BF084A">
        <w:sym w:font="Symbol" w:char="F0B0"/>
      </w:r>
      <w:r w:rsidRPr="00660C7B">
        <w:rPr>
          <w:rFonts w:ascii="Calibri" w:hAnsi="Calibri" w:cs="Calibri"/>
          <w:color w:val="000000" w:themeColor="text1"/>
        </w:rPr>
        <w:t xml:space="preserve">C on a nutator in 9% glyoxal (9% glyoxal, 0.2% v/v ethanol, 0.8% v/v acetic </w:t>
      </w:r>
      <w:r w:rsidRPr="00660C7B">
        <w:rPr>
          <w:rFonts w:ascii="Calibri" w:hAnsi="Calibri" w:cs="Calibri"/>
          <w:color w:val="000000" w:themeColor="text1"/>
        </w:rPr>
        <w:lastRenderedPageBreak/>
        <w:t xml:space="preserve">acid, diluted in 1x PBS, pH 7.6) made the day of use. After fixation, samples were washed three times in 0.01% PBS-T before hemithorax dissection. </w:t>
      </w:r>
    </w:p>
    <w:p w14:paraId="3243ACE8" w14:textId="3FDB9D8E" w:rsidR="00EE5F0D" w:rsidRPr="0026413E" w:rsidRDefault="00EE5F0D" w:rsidP="00631924">
      <w:pPr>
        <w:pStyle w:val="Heading1JOVE"/>
        <w:numPr>
          <w:ilvl w:val="0"/>
          <w:numId w:val="9"/>
        </w:numPr>
      </w:pPr>
      <w:bookmarkStart w:id="1" w:name="_Toc203070173"/>
      <w:r w:rsidRPr="0026413E">
        <w:t>Notes on Fixation Conditions</w:t>
      </w:r>
      <w:bookmarkEnd w:id="1"/>
    </w:p>
    <w:p w14:paraId="3F73D4B6" w14:textId="77777777" w:rsidR="001355CD" w:rsidRPr="004A512A" w:rsidRDefault="001355CD" w:rsidP="00631924">
      <w:pPr>
        <w:jc w:val="both"/>
        <w:rPr>
          <w:rFonts w:ascii="Calibri" w:hAnsi="Calibri" w:cs="Calibri"/>
        </w:rPr>
      </w:pPr>
    </w:p>
    <w:p w14:paraId="3E6C1AE5" w14:textId="3225C542" w:rsidR="002B144A" w:rsidRDefault="00B7033E" w:rsidP="00631924">
      <w:pPr>
        <w:pStyle w:val="ListParagraph"/>
        <w:numPr>
          <w:ilvl w:val="1"/>
          <w:numId w:val="9"/>
        </w:numPr>
        <w:jc w:val="both"/>
        <w:rPr>
          <w:rFonts w:ascii="Calibri" w:hAnsi="Calibri" w:cs="Calibri"/>
          <w:color w:val="202124"/>
          <w:shd w:val="clear" w:color="auto" w:fill="FFFFFF"/>
        </w:rPr>
      </w:pPr>
      <w:r>
        <w:rPr>
          <w:rFonts w:ascii="Calibri" w:hAnsi="Calibri" w:cs="Calibri"/>
          <w:color w:val="202124"/>
          <w:u w:val="single"/>
          <w:shd w:val="clear" w:color="auto" w:fill="FFFFFF"/>
        </w:rPr>
        <w:t>Length of Fixation</w:t>
      </w:r>
      <w:r>
        <w:rPr>
          <w:rFonts w:ascii="Calibri" w:hAnsi="Calibri" w:cs="Calibri"/>
          <w:color w:val="202124"/>
          <w:shd w:val="clear" w:color="auto" w:fill="FFFFFF"/>
        </w:rPr>
        <w:t xml:space="preserve">. When optimizing fixation conditions, a balance must be established between </w:t>
      </w:r>
      <w:r w:rsidR="00CB3174">
        <w:rPr>
          <w:rFonts w:ascii="Calibri" w:hAnsi="Calibri" w:cs="Calibri"/>
          <w:color w:val="202124"/>
          <w:shd w:val="clear" w:color="auto" w:fill="FFFFFF"/>
        </w:rPr>
        <w:t>ensuring the tissue is rigid enough to obtain a clean cut and retaining epitopes recognized by the selected antibodies.</w:t>
      </w:r>
      <w:r w:rsidR="002B144A" w:rsidRPr="0026413E">
        <w:rPr>
          <w:rFonts w:ascii="Calibri" w:hAnsi="Calibri" w:cs="Calibri"/>
          <w:color w:val="202124"/>
          <w:shd w:val="clear" w:color="auto" w:fill="FFFFFF"/>
        </w:rPr>
        <w:t xml:space="preserve"> 15 </w:t>
      </w:r>
      <w:r w:rsidR="00077720">
        <w:rPr>
          <w:rFonts w:ascii="Calibri" w:hAnsi="Calibri" w:cs="Calibri"/>
          <w:color w:val="202124"/>
          <w:shd w:val="clear" w:color="auto" w:fill="FFFFFF"/>
        </w:rPr>
        <w:t>min</w:t>
      </w:r>
      <w:r w:rsidR="00CB3174">
        <w:rPr>
          <w:rFonts w:ascii="Calibri" w:hAnsi="Calibri" w:cs="Calibri"/>
          <w:color w:val="202124"/>
          <w:shd w:val="clear" w:color="auto" w:fill="FFFFFF"/>
        </w:rPr>
        <w:t xml:space="preserve"> incubation in 4% PFA</w:t>
      </w:r>
      <w:r w:rsidR="002B144A" w:rsidRPr="0026413E">
        <w:rPr>
          <w:rFonts w:ascii="Calibri" w:hAnsi="Calibri" w:cs="Calibri"/>
          <w:color w:val="202124"/>
          <w:shd w:val="clear" w:color="auto" w:fill="FFFFFF"/>
        </w:rPr>
        <w:t xml:space="preserve"> is sufficient</w:t>
      </w:r>
      <w:r w:rsidR="00CB3174">
        <w:rPr>
          <w:rFonts w:ascii="Calibri" w:hAnsi="Calibri" w:cs="Calibri"/>
          <w:color w:val="202124"/>
          <w:shd w:val="clear" w:color="auto" w:fill="FFFFFF"/>
        </w:rPr>
        <w:t xml:space="preserve"> for preservation of sarcomere morphology</w:t>
      </w:r>
      <w:r w:rsidR="002B144A" w:rsidRPr="0026413E">
        <w:rPr>
          <w:rFonts w:ascii="Calibri" w:hAnsi="Calibri" w:cs="Calibri"/>
          <w:color w:val="202124"/>
          <w:shd w:val="clear" w:color="auto" w:fill="FFFFFF"/>
        </w:rPr>
        <w:t xml:space="preserve">, but </w:t>
      </w:r>
      <w:r w:rsidR="00CB3174">
        <w:rPr>
          <w:rFonts w:ascii="Calibri" w:hAnsi="Calibri" w:cs="Calibri"/>
          <w:color w:val="202124"/>
          <w:shd w:val="clear" w:color="auto" w:fill="FFFFFF"/>
        </w:rPr>
        <w:t xml:space="preserve">less experienced users may find </w:t>
      </w:r>
      <w:r w:rsidR="00A924FF" w:rsidRPr="0026413E">
        <w:rPr>
          <w:rFonts w:ascii="Calibri" w:hAnsi="Calibri" w:cs="Calibri"/>
          <w:color w:val="202124"/>
          <w:shd w:val="clear" w:color="auto" w:fill="FFFFFF"/>
        </w:rPr>
        <w:t>thoraces</w:t>
      </w:r>
      <w:r w:rsidR="002B144A" w:rsidRPr="0026413E">
        <w:rPr>
          <w:rFonts w:ascii="Calibri" w:hAnsi="Calibri" w:cs="Calibri"/>
          <w:color w:val="202124"/>
          <w:shd w:val="clear" w:color="auto" w:fill="FFFFFF"/>
        </w:rPr>
        <w:t xml:space="preserve"> still a bit squishy when cutting hemi-sections. Fix</w:t>
      </w:r>
      <w:r w:rsidR="008F41F8">
        <w:rPr>
          <w:rFonts w:ascii="Calibri" w:hAnsi="Calibri" w:cs="Calibri"/>
          <w:color w:val="202124"/>
          <w:shd w:val="clear" w:color="auto" w:fill="FFFFFF"/>
        </w:rPr>
        <w:t>ation</w:t>
      </w:r>
      <w:r w:rsidR="002B144A" w:rsidRPr="0026413E">
        <w:rPr>
          <w:rFonts w:ascii="Calibri" w:hAnsi="Calibri" w:cs="Calibri"/>
          <w:color w:val="202124"/>
          <w:shd w:val="clear" w:color="auto" w:fill="FFFFFF"/>
        </w:rPr>
        <w:t xml:space="preserve"> for 30-60 </w:t>
      </w:r>
      <w:r w:rsidR="00077720">
        <w:rPr>
          <w:rFonts w:ascii="Calibri" w:hAnsi="Calibri" w:cs="Calibri"/>
          <w:color w:val="202124"/>
          <w:shd w:val="clear" w:color="auto" w:fill="FFFFFF"/>
        </w:rPr>
        <w:t>min</w:t>
      </w:r>
      <w:r w:rsidR="002B144A" w:rsidRPr="0026413E">
        <w:rPr>
          <w:rFonts w:ascii="Calibri" w:hAnsi="Calibri" w:cs="Calibri"/>
          <w:color w:val="202124"/>
          <w:shd w:val="clear" w:color="auto" w:fill="FFFFFF"/>
        </w:rPr>
        <w:t xml:space="preserve"> </w:t>
      </w:r>
      <w:r w:rsidR="008F41F8">
        <w:rPr>
          <w:rFonts w:ascii="Calibri" w:hAnsi="Calibri" w:cs="Calibri"/>
          <w:color w:val="202124"/>
          <w:shd w:val="clear" w:color="auto" w:fill="FFFFFF"/>
        </w:rPr>
        <w:t>results in a more rigid thorax that will be easier to</w:t>
      </w:r>
      <w:r w:rsidR="002B144A" w:rsidRPr="0026413E">
        <w:rPr>
          <w:rFonts w:ascii="Calibri" w:hAnsi="Calibri" w:cs="Calibri"/>
          <w:color w:val="202124"/>
          <w:shd w:val="clear" w:color="auto" w:fill="FFFFFF"/>
        </w:rPr>
        <w:t xml:space="preserve"> cut with a blade. The drawback to a longer fixation </w:t>
      </w:r>
      <w:r w:rsidR="008F41F8">
        <w:rPr>
          <w:rFonts w:ascii="Calibri" w:hAnsi="Calibri" w:cs="Calibri"/>
          <w:color w:val="202124"/>
          <w:shd w:val="clear" w:color="auto" w:fill="FFFFFF"/>
        </w:rPr>
        <w:t xml:space="preserve">time </w:t>
      </w:r>
      <w:r w:rsidR="002B144A" w:rsidRPr="0026413E">
        <w:rPr>
          <w:rFonts w:ascii="Calibri" w:hAnsi="Calibri" w:cs="Calibri"/>
          <w:color w:val="202124"/>
          <w:shd w:val="clear" w:color="auto" w:fill="FFFFFF"/>
        </w:rPr>
        <w:t>is that some antibodies are fixation-sensitive</w:t>
      </w:r>
      <w:r w:rsidR="00613D2E">
        <w:rPr>
          <w:rFonts w:ascii="Calibri" w:hAnsi="Calibri" w:cs="Calibri"/>
          <w:color w:val="202124"/>
          <w:shd w:val="clear" w:color="auto" w:fill="FFFFFF"/>
        </w:rPr>
        <w:fldChar w:fldCharType="begin"/>
      </w:r>
      <w:r w:rsidR="00613D2E">
        <w:rPr>
          <w:rFonts w:ascii="Calibri" w:hAnsi="Calibri" w:cs="Calibri"/>
          <w:color w:val="202124"/>
          <w:shd w:val="clear" w:color="auto" w:fill="FFFFFF"/>
        </w:rPr>
        <w:instrText xml:space="preserve"> ADDIN ZOTERO_ITEM CSL_CITATION {"citationID":"fnuyPZD4","properties":{"formattedCitation":"\\super 4\\nosupersub{}","plainCitation":"4","noteIndex":0},"citationItems":[{"id":2986,"uris":["http://zotero.org/users/10474248/items/NVQVMVZ8"],"itemData":{"id":2986,"type":"article-journal","abstract":"Skeletal muscle undergoes marked functional decay during aging in humans, but the cell biological mechanisms responsible for this process are only partly known. Age-related muscle dysfunction is also a feature of aging in the fruit fly Drosophila melanogaster. Here we describe a detailed step-by-step protocol, which takes place over 3 d, for whole-mount immunostaining of Drosophila flight muscle. The skeletal muscle is fixed and permeabilized without any tissue freezing and dehydration so that antigens are accessible for staining with appropriate antibodies and the overall tissue ultrastructure is well preserved. This technique can be used to identify age-related cellular changes driving skeletal muscle aging and for characterizing models of human muscle disease in Drosophila.","container-title":"Nature Protocols","DOI":"10.1038/nprot.2013.156","ISSN":"1750-2799","issue":"12","journalAbbreviation":"Nat Protoc","language":"en","license":"2013 Springer Nature Limited","note":"publisher: Nature Publishing Group","page":"2496-2501","source":"www.nature.com","title":"Whole-mount immunostaining of Drosophila skeletal muscle","volume":"8","author":[{"family":"Hunt","given":"Liam C."},{"family":"Demontis","given":"Fabio"}],"issued":{"date-parts":[["2013",12]]}}}],"schema":"https://github.com/citation-style-language/schema/raw/master/csl-citation.json"} </w:instrText>
      </w:r>
      <w:r w:rsidR="00613D2E">
        <w:rPr>
          <w:rFonts w:ascii="Calibri" w:hAnsi="Calibri" w:cs="Calibri"/>
          <w:color w:val="202124"/>
          <w:shd w:val="clear" w:color="auto" w:fill="FFFFFF"/>
        </w:rPr>
        <w:fldChar w:fldCharType="separate"/>
      </w:r>
      <w:r w:rsidR="00613D2E" w:rsidRPr="00613D2E">
        <w:rPr>
          <w:rFonts w:ascii="Calibri" w:hAnsi="Calibri" w:cs="Calibri"/>
          <w:color w:val="000000"/>
          <w:vertAlign w:val="superscript"/>
        </w:rPr>
        <w:t>4</w:t>
      </w:r>
      <w:r w:rsidR="00613D2E">
        <w:rPr>
          <w:rFonts w:ascii="Calibri" w:hAnsi="Calibri" w:cs="Calibri"/>
          <w:color w:val="202124"/>
          <w:shd w:val="clear" w:color="auto" w:fill="FFFFFF"/>
        </w:rPr>
        <w:fldChar w:fldCharType="end"/>
      </w:r>
      <w:r w:rsidR="002B144A" w:rsidRPr="0026413E">
        <w:rPr>
          <w:rFonts w:ascii="Calibri" w:hAnsi="Calibri" w:cs="Calibri"/>
          <w:color w:val="202124"/>
          <w:shd w:val="clear" w:color="auto" w:fill="FFFFFF"/>
        </w:rPr>
        <w:t xml:space="preserve"> (meaning the epitope they recognize gets cross-linked by aldehyde</w:t>
      </w:r>
      <w:r w:rsidR="008F41F8">
        <w:rPr>
          <w:rFonts w:ascii="Calibri" w:hAnsi="Calibri" w:cs="Calibri"/>
          <w:color w:val="202124"/>
          <w:shd w:val="clear" w:color="auto" w:fill="FFFFFF"/>
        </w:rPr>
        <w:t>s</w:t>
      </w:r>
      <w:r w:rsidR="002B144A" w:rsidRPr="0026413E">
        <w:rPr>
          <w:rFonts w:ascii="Calibri" w:hAnsi="Calibri" w:cs="Calibri"/>
          <w:color w:val="202124"/>
          <w:shd w:val="clear" w:color="auto" w:fill="FFFFFF"/>
        </w:rPr>
        <w:t>)</w:t>
      </w:r>
      <w:r w:rsidR="008F41F8">
        <w:rPr>
          <w:rFonts w:ascii="Calibri" w:hAnsi="Calibri" w:cs="Calibri"/>
          <w:color w:val="202124"/>
          <w:shd w:val="clear" w:color="auto" w:fill="FFFFFF"/>
        </w:rPr>
        <w:t>. In this case,</w:t>
      </w:r>
      <w:r w:rsidR="002B144A" w:rsidRPr="0026413E">
        <w:rPr>
          <w:rFonts w:ascii="Calibri" w:hAnsi="Calibri" w:cs="Calibri"/>
          <w:color w:val="202124"/>
          <w:shd w:val="clear" w:color="auto" w:fill="FFFFFF"/>
        </w:rPr>
        <w:t xml:space="preserve"> </w:t>
      </w:r>
      <w:r w:rsidR="008F41F8">
        <w:rPr>
          <w:rFonts w:ascii="Calibri" w:hAnsi="Calibri" w:cs="Calibri"/>
          <w:color w:val="202124"/>
          <w:shd w:val="clear" w:color="auto" w:fill="FFFFFF"/>
        </w:rPr>
        <w:t>test a</w:t>
      </w:r>
      <w:r w:rsidR="002B144A" w:rsidRPr="0026413E">
        <w:rPr>
          <w:rFonts w:ascii="Calibri" w:hAnsi="Calibri" w:cs="Calibri"/>
          <w:color w:val="202124"/>
          <w:shd w:val="clear" w:color="auto" w:fill="FFFFFF"/>
        </w:rPr>
        <w:t xml:space="preserve"> </w:t>
      </w:r>
      <w:r w:rsidR="008F41F8" w:rsidRPr="0026413E">
        <w:rPr>
          <w:rFonts w:ascii="Calibri" w:hAnsi="Calibri" w:cs="Calibri"/>
          <w:color w:val="202124"/>
          <w:shd w:val="clear" w:color="auto" w:fill="FFFFFF"/>
        </w:rPr>
        <w:t>15-minute</w:t>
      </w:r>
      <w:r w:rsidR="002B144A" w:rsidRPr="0026413E">
        <w:rPr>
          <w:rFonts w:ascii="Calibri" w:hAnsi="Calibri" w:cs="Calibri"/>
          <w:color w:val="202124"/>
          <w:shd w:val="clear" w:color="auto" w:fill="FFFFFF"/>
        </w:rPr>
        <w:t xml:space="preserve"> </w:t>
      </w:r>
      <w:r w:rsidR="008F41F8">
        <w:rPr>
          <w:rFonts w:ascii="Calibri" w:hAnsi="Calibri" w:cs="Calibri"/>
          <w:color w:val="202124"/>
          <w:shd w:val="clear" w:color="auto" w:fill="FFFFFF"/>
        </w:rPr>
        <w:t xml:space="preserve">PFA </w:t>
      </w:r>
      <w:r w:rsidR="002B144A" w:rsidRPr="0026413E">
        <w:rPr>
          <w:rFonts w:ascii="Calibri" w:hAnsi="Calibri" w:cs="Calibri"/>
          <w:color w:val="202124"/>
          <w:shd w:val="clear" w:color="auto" w:fill="FFFFFF"/>
        </w:rPr>
        <w:t>fix</w:t>
      </w:r>
      <w:r w:rsidR="008F41F8">
        <w:rPr>
          <w:rFonts w:ascii="Calibri" w:hAnsi="Calibri" w:cs="Calibri"/>
          <w:color w:val="202124"/>
          <w:shd w:val="clear" w:color="auto" w:fill="FFFFFF"/>
        </w:rPr>
        <w:t>ation or alternatively</w:t>
      </w:r>
      <w:r w:rsidR="002B144A" w:rsidRPr="0026413E">
        <w:rPr>
          <w:rFonts w:ascii="Calibri" w:hAnsi="Calibri" w:cs="Calibri"/>
          <w:color w:val="202124"/>
          <w:shd w:val="clear" w:color="auto" w:fill="FFFFFF"/>
        </w:rPr>
        <w:t xml:space="preserve"> </w:t>
      </w:r>
      <w:r w:rsidR="008F41F8">
        <w:rPr>
          <w:rFonts w:ascii="Calibri" w:hAnsi="Calibri" w:cs="Calibri"/>
          <w:color w:val="202124"/>
          <w:shd w:val="clear" w:color="auto" w:fill="FFFFFF"/>
        </w:rPr>
        <w:t xml:space="preserve">methanol or </w:t>
      </w:r>
      <w:proofErr w:type="spellStart"/>
      <w:r w:rsidR="008F41F8">
        <w:rPr>
          <w:rFonts w:ascii="Calibri" w:hAnsi="Calibri" w:cs="Calibri"/>
          <w:color w:val="202124"/>
          <w:shd w:val="clear" w:color="auto" w:fill="FFFFFF"/>
        </w:rPr>
        <w:t>glyoxyl</w:t>
      </w:r>
      <w:proofErr w:type="spellEnd"/>
      <w:r w:rsidR="008F41F8">
        <w:rPr>
          <w:rFonts w:ascii="Calibri" w:hAnsi="Calibri" w:cs="Calibri"/>
          <w:color w:val="202124"/>
          <w:shd w:val="clear" w:color="auto" w:fill="FFFFFF"/>
        </w:rPr>
        <w:t xml:space="preserve"> fixation. </w:t>
      </w:r>
    </w:p>
    <w:p w14:paraId="4C19EBF9" w14:textId="77777777" w:rsidR="00D74CC4" w:rsidRPr="0026413E" w:rsidRDefault="00D74CC4" w:rsidP="00D74CC4">
      <w:pPr>
        <w:pStyle w:val="ListParagraph"/>
        <w:ind w:left="420"/>
        <w:jc w:val="both"/>
        <w:rPr>
          <w:rFonts w:ascii="Calibri" w:hAnsi="Calibri" w:cs="Calibri"/>
          <w:color w:val="202124"/>
          <w:shd w:val="clear" w:color="auto" w:fill="FFFFFF"/>
        </w:rPr>
      </w:pPr>
    </w:p>
    <w:p w14:paraId="54509636" w14:textId="1B620336" w:rsidR="002B144A" w:rsidRDefault="00C06E32" w:rsidP="00631924">
      <w:pPr>
        <w:pStyle w:val="ListParagraph"/>
        <w:numPr>
          <w:ilvl w:val="1"/>
          <w:numId w:val="9"/>
        </w:numPr>
        <w:jc w:val="both"/>
        <w:rPr>
          <w:rFonts w:ascii="Calibri" w:hAnsi="Calibri" w:cs="Calibri"/>
          <w:color w:val="202124"/>
          <w:shd w:val="clear" w:color="auto" w:fill="FFFFFF"/>
        </w:rPr>
      </w:pPr>
      <w:r w:rsidRPr="00C06E32">
        <w:rPr>
          <w:rFonts w:ascii="Calibri" w:hAnsi="Calibri" w:cs="Calibri"/>
          <w:color w:val="202124"/>
          <w:u w:val="single"/>
          <w:shd w:val="clear" w:color="auto" w:fill="FFFFFF"/>
        </w:rPr>
        <w:t>Detergent concentration.</w:t>
      </w:r>
      <w:r>
        <w:rPr>
          <w:rFonts w:ascii="Calibri" w:hAnsi="Calibri" w:cs="Calibri"/>
          <w:color w:val="202124"/>
          <w:shd w:val="clear" w:color="auto" w:fill="FFFFFF"/>
        </w:rPr>
        <w:t xml:space="preserve"> </w:t>
      </w:r>
      <w:r w:rsidR="00DA4412">
        <w:rPr>
          <w:rFonts w:ascii="Calibri" w:hAnsi="Calibri" w:cs="Calibri"/>
          <w:color w:val="202124"/>
          <w:shd w:val="clear" w:color="auto" w:fill="FFFFFF"/>
        </w:rPr>
        <w:t xml:space="preserve">Detergent is necessary in buffers for immunohistochemistry protocols </w:t>
      </w:r>
      <w:r w:rsidR="008E4475">
        <w:rPr>
          <w:rFonts w:ascii="Calibri" w:hAnsi="Calibri" w:cs="Calibri"/>
          <w:color w:val="202124"/>
          <w:shd w:val="clear" w:color="auto" w:fill="FFFFFF"/>
        </w:rPr>
        <w:t>to permeabilize cell membranes and enable penetration of antibodies and cellular dyes. Triton X-100, NP-40, and Tween20 are common</w:t>
      </w:r>
      <w:r w:rsidR="007B59A3">
        <w:rPr>
          <w:rFonts w:ascii="Calibri" w:hAnsi="Calibri" w:cs="Calibri"/>
          <w:color w:val="202124"/>
          <w:shd w:val="clear" w:color="auto" w:fill="FFFFFF"/>
        </w:rPr>
        <w:t>ly used</w:t>
      </w:r>
      <w:r w:rsidR="008E4475">
        <w:rPr>
          <w:rFonts w:ascii="Calibri" w:hAnsi="Calibri" w:cs="Calibri"/>
          <w:color w:val="202124"/>
          <w:shd w:val="clear" w:color="auto" w:fill="FFFFFF"/>
        </w:rPr>
        <w:t xml:space="preserve"> detergents. Triton X-100 concentrations recommended for immunohistochemistry range from 0.01% to 0.5%. </w:t>
      </w:r>
      <w:r w:rsidR="00E43836">
        <w:rPr>
          <w:rFonts w:ascii="Calibri" w:hAnsi="Calibri" w:cs="Calibri"/>
          <w:color w:val="202124"/>
          <w:shd w:val="clear" w:color="auto" w:fill="FFFFFF"/>
        </w:rPr>
        <w:t>We typically use a concentration of 0.1% or less</w:t>
      </w:r>
      <w:r w:rsidR="007B59A3">
        <w:rPr>
          <w:rFonts w:ascii="Calibri" w:hAnsi="Calibri" w:cs="Calibri"/>
          <w:color w:val="202124"/>
          <w:shd w:val="clear" w:color="auto" w:fill="FFFFFF"/>
        </w:rPr>
        <w:t xml:space="preserve"> when staining IFMs</w:t>
      </w:r>
      <w:r w:rsidR="00E43836">
        <w:rPr>
          <w:rFonts w:ascii="Calibri" w:hAnsi="Calibri" w:cs="Calibri"/>
          <w:color w:val="202124"/>
          <w:shd w:val="clear" w:color="auto" w:fill="FFFFFF"/>
        </w:rPr>
        <w:t xml:space="preserve">, as higher concentrations of detergent can wash </w:t>
      </w:r>
      <w:r w:rsidR="002B144A" w:rsidRPr="0026413E">
        <w:rPr>
          <w:rFonts w:ascii="Calibri" w:hAnsi="Calibri" w:cs="Calibri"/>
          <w:color w:val="202124"/>
          <w:shd w:val="clear" w:color="auto" w:fill="FFFFFF"/>
        </w:rPr>
        <w:t>cytoskeletal structures and cytoplasmic contents</w:t>
      </w:r>
      <w:r w:rsidR="00E43836">
        <w:rPr>
          <w:rFonts w:ascii="Calibri" w:hAnsi="Calibri" w:cs="Calibri"/>
          <w:color w:val="202124"/>
          <w:shd w:val="clear" w:color="auto" w:fill="FFFFFF"/>
        </w:rPr>
        <w:t>, including thin filaments of the sarcomere,</w:t>
      </w:r>
      <w:r w:rsidR="002B144A" w:rsidRPr="0026413E">
        <w:rPr>
          <w:rFonts w:ascii="Calibri" w:hAnsi="Calibri" w:cs="Calibri"/>
          <w:color w:val="202124"/>
          <w:shd w:val="clear" w:color="auto" w:fill="FFFFFF"/>
        </w:rPr>
        <w:t xml:space="preserve"> out of the fixed tissue.</w:t>
      </w:r>
      <w:r w:rsidR="007B59A3">
        <w:rPr>
          <w:rFonts w:ascii="Calibri" w:hAnsi="Calibri" w:cs="Calibri"/>
          <w:color w:val="202124"/>
          <w:shd w:val="clear" w:color="auto" w:fill="FFFFFF"/>
        </w:rPr>
        <w:t xml:space="preserve"> </w:t>
      </w:r>
      <w:r w:rsidR="00F25CE9">
        <w:rPr>
          <w:rFonts w:ascii="Calibri" w:hAnsi="Calibri" w:cs="Calibri"/>
          <w:color w:val="202124"/>
          <w:shd w:val="clear" w:color="auto" w:fill="FFFFFF"/>
        </w:rPr>
        <w:t>Triton X-100 can be combined with NP-40 to increase permeability of internal membrane</w:t>
      </w:r>
      <w:r w:rsidR="00613D2E">
        <w:rPr>
          <w:rFonts w:ascii="Calibri" w:hAnsi="Calibri" w:cs="Calibri"/>
          <w:color w:val="202124"/>
          <w:shd w:val="clear" w:color="auto" w:fill="FFFFFF"/>
        </w:rPr>
        <w:fldChar w:fldCharType="begin"/>
      </w:r>
      <w:r w:rsidR="00613D2E">
        <w:rPr>
          <w:rFonts w:ascii="Calibri" w:hAnsi="Calibri" w:cs="Calibri"/>
          <w:color w:val="202124"/>
          <w:shd w:val="clear" w:color="auto" w:fill="FFFFFF"/>
        </w:rPr>
        <w:instrText xml:space="preserve"> ADDIN ZOTERO_ITEM CSL_CITATION {"citationID":"6e9nCDiF","properties":{"formattedCitation":"\\super 4\\nosupersub{}","plainCitation":"4","noteIndex":0},"citationItems":[{"id":2986,"uris":["http://zotero.org/users/10474248/items/NVQVMVZ8"],"itemData":{"id":2986,"type":"article-journal","abstract":"Skeletal muscle undergoes marked functional decay during aging in humans, but the cell biological mechanisms responsible for this process are only partly known. Age-related muscle dysfunction is also a feature of aging in the fruit fly Drosophila melanogaster. Here we describe a detailed step-by-step protocol, which takes place over 3 d, for whole-mount immunostaining of Drosophila flight muscle. The skeletal muscle is fixed and permeabilized without any tissue freezing and dehydration so that antigens are accessible for staining with appropriate antibodies and the overall tissue ultrastructure is well preserved. This technique can be used to identify age-related cellular changes driving skeletal muscle aging and for characterizing models of human muscle disease in Drosophila.","container-title":"Nature Protocols","DOI":"10.1038/nprot.2013.156","ISSN":"1750-2799","issue":"12","journalAbbreviation":"Nat Protoc","language":"en","license":"2013 Springer Nature Limited","note":"publisher: Nature Publishing Group","page":"2496-2501","source":"www.nature.com","title":"Whole-mount immunostaining of Drosophila skeletal muscle","volume":"8","author":[{"family":"Hunt","given":"Liam C."},{"family":"Demontis","given":"Fabio"}],"issued":{"date-parts":[["2013",12]]}}}],"schema":"https://github.com/citation-style-language/schema/raw/master/csl-citation.json"} </w:instrText>
      </w:r>
      <w:r w:rsidR="00613D2E">
        <w:rPr>
          <w:rFonts w:ascii="Calibri" w:hAnsi="Calibri" w:cs="Calibri"/>
          <w:color w:val="202124"/>
          <w:shd w:val="clear" w:color="auto" w:fill="FFFFFF"/>
        </w:rPr>
        <w:fldChar w:fldCharType="separate"/>
      </w:r>
      <w:r w:rsidR="00613D2E" w:rsidRPr="00613D2E">
        <w:rPr>
          <w:rFonts w:ascii="Calibri" w:hAnsi="Calibri" w:cs="Calibri"/>
          <w:color w:val="000000"/>
          <w:vertAlign w:val="superscript"/>
        </w:rPr>
        <w:t>4</w:t>
      </w:r>
      <w:r w:rsidR="00613D2E">
        <w:rPr>
          <w:rFonts w:ascii="Calibri" w:hAnsi="Calibri" w:cs="Calibri"/>
          <w:color w:val="202124"/>
          <w:shd w:val="clear" w:color="auto" w:fill="FFFFFF"/>
        </w:rPr>
        <w:fldChar w:fldCharType="end"/>
      </w:r>
      <w:r w:rsidR="00F25CE9">
        <w:rPr>
          <w:rFonts w:ascii="Calibri" w:hAnsi="Calibri" w:cs="Calibri"/>
          <w:color w:val="202124"/>
          <w:shd w:val="clear" w:color="auto" w:fill="FFFFFF"/>
        </w:rPr>
        <w:t>.</w:t>
      </w:r>
    </w:p>
    <w:p w14:paraId="22ACC65B" w14:textId="77777777" w:rsidR="00D74CC4" w:rsidRDefault="00D74CC4" w:rsidP="00D74CC4">
      <w:pPr>
        <w:pStyle w:val="ListParagraph"/>
        <w:ind w:left="420"/>
        <w:jc w:val="both"/>
        <w:rPr>
          <w:rFonts w:ascii="Calibri" w:hAnsi="Calibri" w:cs="Calibri"/>
          <w:color w:val="202124"/>
          <w:shd w:val="clear" w:color="auto" w:fill="FFFFFF"/>
        </w:rPr>
      </w:pPr>
    </w:p>
    <w:p w14:paraId="2AFF1C1B" w14:textId="099BF7B8" w:rsidR="002B144A" w:rsidRPr="00047DCE" w:rsidRDefault="00DA4412" w:rsidP="00631924">
      <w:pPr>
        <w:pStyle w:val="ListParagraph"/>
        <w:numPr>
          <w:ilvl w:val="1"/>
          <w:numId w:val="9"/>
        </w:numPr>
        <w:jc w:val="both"/>
        <w:rPr>
          <w:rFonts w:ascii="Calibri" w:hAnsi="Calibri" w:cs="Calibri"/>
          <w:color w:val="202124"/>
          <w:shd w:val="clear" w:color="auto" w:fill="FFFFFF"/>
        </w:rPr>
      </w:pPr>
      <w:r>
        <w:rPr>
          <w:rFonts w:ascii="Calibri" w:hAnsi="Calibri" w:cs="Calibri"/>
          <w:color w:val="202124"/>
          <w:u w:val="single"/>
          <w:shd w:val="clear" w:color="auto" w:fill="FFFFFF"/>
        </w:rPr>
        <w:t>Optimization</w:t>
      </w:r>
      <w:r w:rsidRPr="00C06E32">
        <w:rPr>
          <w:rFonts w:ascii="Calibri" w:hAnsi="Calibri" w:cs="Calibri"/>
          <w:color w:val="202124"/>
          <w:shd w:val="clear" w:color="auto" w:fill="FFFFFF"/>
        </w:rPr>
        <w:t xml:space="preserve">. </w:t>
      </w:r>
      <w:r w:rsidR="009F7551">
        <w:rPr>
          <w:rFonts w:ascii="Calibri" w:hAnsi="Calibri" w:cs="Calibri"/>
          <w:color w:val="202124"/>
          <w:shd w:val="clear" w:color="auto" w:fill="FFFFFF"/>
        </w:rPr>
        <w:t>When e</w:t>
      </w:r>
      <w:r w:rsidR="00160116">
        <w:rPr>
          <w:rFonts w:ascii="Calibri" w:hAnsi="Calibri" w:cs="Calibri"/>
          <w:color w:val="202124"/>
          <w:shd w:val="clear" w:color="auto" w:fill="FFFFFF"/>
        </w:rPr>
        <w:t>stablishing a staining protocol</w:t>
      </w:r>
      <w:r w:rsidR="009F7551">
        <w:rPr>
          <w:rFonts w:ascii="Calibri" w:hAnsi="Calibri" w:cs="Calibri"/>
          <w:color w:val="202124"/>
          <w:shd w:val="clear" w:color="auto" w:fill="FFFFFF"/>
        </w:rPr>
        <w:t xml:space="preserve"> with a new antibody, </w:t>
      </w:r>
      <w:r w:rsidR="00077720">
        <w:rPr>
          <w:rFonts w:ascii="Calibri" w:hAnsi="Calibri" w:cs="Calibri"/>
          <w:color w:val="202124"/>
          <w:shd w:val="clear" w:color="auto" w:fill="FFFFFF"/>
        </w:rPr>
        <w:t>first</w:t>
      </w:r>
      <w:r w:rsidR="009F7551">
        <w:rPr>
          <w:rFonts w:ascii="Calibri" w:hAnsi="Calibri" w:cs="Calibri"/>
          <w:color w:val="202124"/>
          <w:shd w:val="clear" w:color="auto" w:fill="FFFFFF"/>
        </w:rPr>
        <w:t xml:space="preserve"> test </w:t>
      </w:r>
      <w:proofErr w:type="gramStart"/>
      <w:r w:rsidR="009F7551">
        <w:rPr>
          <w:rFonts w:ascii="Calibri" w:hAnsi="Calibri" w:cs="Calibri"/>
          <w:color w:val="202124"/>
          <w:shd w:val="clear" w:color="auto" w:fill="FFFFFF"/>
        </w:rPr>
        <w:t xml:space="preserve">a </w:t>
      </w:r>
      <w:r w:rsidR="00376B46">
        <w:rPr>
          <w:rFonts w:ascii="Calibri" w:hAnsi="Calibri" w:cs="Calibri"/>
          <w:color w:val="202124"/>
          <w:shd w:val="clear" w:color="auto" w:fill="FFFFFF"/>
        </w:rPr>
        <w:t>3</w:t>
      </w:r>
      <w:r w:rsidR="00077720">
        <w:rPr>
          <w:rFonts w:ascii="Calibri" w:hAnsi="Calibri" w:cs="Calibri"/>
          <w:color w:val="202124"/>
          <w:shd w:val="clear" w:color="auto" w:fill="FFFFFF"/>
        </w:rPr>
        <w:t>0</w:t>
      </w:r>
      <w:proofErr w:type="gramEnd"/>
      <w:r w:rsidR="00077720">
        <w:rPr>
          <w:rFonts w:ascii="Calibri" w:hAnsi="Calibri" w:cs="Calibri"/>
          <w:color w:val="202124"/>
          <w:shd w:val="clear" w:color="auto" w:fill="FFFFFF"/>
        </w:rPr>
        <w:t xml:space="preserve"> min</w:t>
      </w:r>
      <w:r w:rsidR="009F7551">
        <w:rPr>
          <w:rFonts w:ascii="Calibri" w:hAnsi="Calibri" w:cs="Calibri"/>
          <w:color w:val="202124"/>
          <w:shd w:val="clear" w:color="auto" w:fill="FFFFFF"/>
        </w:rPr>
        <w:t xml:space="preserve"> fixation with 4% PFA in relaxing solution and 0.05% Triton X-100. </w:t>
      </w:r>
    </w:p>
    <w:p w14:paraId="27AF93A3" w14:textId="0CD31950" w:rsidR="00EE5F0D" w:rsidRPr="00EE5F0D" w:rsidRDefault="00EE5F0D" w:rsidP="00631924">
      <w:pPr>
        <w:pStyle w:val="Heading1JOVE"/>
        <w:numPr>
          <w:ilvl w:val="0"/>
          <w:numId w:val="9"/>
        </w:numPr>
        <w:spacing w:before="0"/>
      </w:pPr>
      <w:bookmarkStart w:id="2" w:name="_Toc203070174"/>
      <w:r>
        <w:t xml:space="preserve">Antibody </w:t>
      </w:r>
      <w:r w:rsidR="00782E7D">
        <w:t>S</w:t>
      </w:r>
      <w:r>
        <w:t>taining</w:t>
      </w:r>
      <w:bookmarkEnd w:id="2"/>
    </w:p>
    <w:p w14:paraId="6FBEEF13" w14:textId="77777777" w:rsidR="00B13164" w:rsidRDefault="00B13164" w:rsidP="00631924">
      <w:pPr>
        <w:jc w:val="both"/>
        <w:rPr>
          <w:rFonts w:ascii="Calibri" w:hAnsi="Calibri" w:cs="Calibri"/>
          <w:color w:val="000000"/>
        </w:rPr>
      </w:pPr>
    </w:p>
    <w:p w14:paraId="702B8906" w14:textId="77777777" w:rsidR="00165515" w:rsidRDefault="00165515" w:rsidP="00631924">
      <w:pPr>
        <w:pStyle w:val="ListParagraph"/>
        <w:widowControl w:val="0"/>
        <w:numPr>
          <w:ilvl w:val="1"/>
          <w:numId w:val="9"/>
        </w:numPr>
        <w:autoSpaceDE w:val="0"/>
        <w:autoSpaceDN w:val="0"/>
        <w:adjustRightInd w:val="0"/>
        <w:spacing w:after="200" w:line="276" w:lineRule="auto"/>
        <w:jc w:val="both"/>
        <w:rPr>
          <w:rFonts w:ascii="Calibri" w:hAnsi="Calibri" w:cs="Calibri"/>
          <w:color w:val="000000" w:themeColor="text1"/>
        </w:rPr>
      </w:pPr>
      <w:r w:rsidRPr="00165515">
        <w:rPr>
          <w:rFonts w:ascii="Calibri" w:hAnsi="Calibri" w:cs="Calibri"/>
          <w:color w:val="000000" w:themeColor="text1"/>
          <w:u w:val="single"/>
        </w:rPr>
        <w:t>Staining Methods (Figure 5-6)</w:t>
      </w:r>
      <w:r w:rsidRPr="00165515">
        <w:rPr>
          <w:rFonts w:ascii="Calibri" w:hAnsi="Calibri" w:cs="Calibri"/>
          <w:color w:val="000000" w:themeColor="text1"/>
        </w:rPr>
        <w:t xml:space="preserve">. After bisecting the thorax, IFM samples were stained overnight with rhodamine-phalloidin (labels F-actin) at 1:500 in 0.01% PBS-T on a nutator at 4 °C. After washing 3x in 0.01% PBS-T on a nutator at room temperature, samples were mounted in </w:t>
      </w:r>
      <w:proofErr w:type="spellStart"/>
      <w:r w:rsidRPr="00165515">
        <w:rPr>
          <w:rFonts w:ascii="Calibri" w:hAnsi="Calibri" w:cs="Calibri"/>
          <w:color w:val="000000" w:themeColor="text1"/>
        </w:rPr>
        <w:t>Vectashield</w:t>
      </w:r>
      <w:proofErr w:type="spellEnd"/>
      <w:r w:rsidRPr="00165515">
        <w:rPr>
          <w:rFonts w:ascii="Calibri" w:hAnsi="Calibri" w:cs="Calibri"/>
          <w:color w:val="000000" w:themeColor="text1"/>
        </w:rPr>
        <w:t xml:space="preserve"> containing DAPI. Images were acquired on Nikon AXR or a Zeiss LSM 710 confocal using a 60x oil objective.</w:t>
      </w:r>
      <w:r>
        <w:rPr>
          <w:rFonts w:ascii="Calibri" w:hAnsi="Calibri" w:cs="Calibri"/>
          <w:color w:val="000000" w:themeColor="text1"/>
        </w:rPr>
        <w:t xml:space="preserve"> </w:t>
      </w:r>
    </w:p>
    <w:p w14:paraId="61AA66A4" w14:textId="77777777" w:rsidR="00D74CC4" w:rsidRDefault="00D74CC4" w:rsidP="00D74CC4">
      <w:pPr>
        <w:pStyle w:val="ListParagraph"/>
        <w:widowControl w:val="0"/>
        <w:autoSpaceDE w:val="0"/>
        <w:autoSpaceDN w:val="0"/>
        <w:adjustRightInd w:val="0"/>
        <w:spacing w:after="200" w:line="276" w:lineRule="auto"/>
        <w:ind w:left="420"/>
        <w:jc w:val="both"/>
        <w:rPr>
          <w:rFonts w:ascii="Calibri" w:hAnsi="Calibri" w:cs="Calibri"/>
          <w:color w:val="000000" w:themeColor="text1"/>
        </w:rPr>
      </w:pPr>
    </w:p>
    <w:p w14:paraId="441AFEFC" w14:textId="6EA2063A" w:rsidR="00D74CC4" w:rsidRPr="00D74CC4" w:rsidRDefault="00165515" w:rsidP="00D74CC4">
      <w:pPr>
        <w:pStyle w:val="ListParagraph"/>
        <w:widowControl w:val="0"/>
        <w:numPr>
          <w:ilvl w:val="1"/>
          <w:numId w:val="9"/>
        </w:numPr>
        <w:autoSpaceDE w:val="0"/>
        <w:autoSpaceDN w:val="0"/>
        <w:adjustRightInd w:val="0"/>
        <w:spacing w:after="200" w:line="276" w:lineRule="auto"/>
        <w:jc w:val="both"/>
        <w:rPr>
          <w:rFonts w:ascii="Calibri" w:hAnsi="Calibri" w:cs="Calibri"/>
          <w:color w:val="000000" w:themeColor="text1"/>
        </w:rPr>
      </w:pPr>
      <w:r w:rsidRPr="00165515">
        <w:rPr>
          <w:rFonts w:ascii="Calibri" w:hAnsi="Calibri" w:cs="Calibri"/>
          <w:color w:val="000000" w:themeColor="text1"/>
          <w:u w:val="single"/>
        </w:rPr>
        <w:t>Blocking</w:t>
      </w:r>
      <w:r w:rsidRPr="00165515">
        <w:rPr>
          <w:rFonts w:ascii="Calibri" w:hAnsi="Calibri" w:cs="Calibri"/>
          <w:color w:val="000000" w:themeColor="text1"/>
        </w:rPr>
        <w:t xml:space="preserve">. The purpose of blocking is to pre-bind non-specific antigens to reduce background staining of primary and secondary antibodies. Blocking is usually accomplished with 5% serum (normal goat serum or normal donkey serum) or bovine serum albumin (BSA). Serum is often selected based on the host species of the secondary antibody. For example, </w:t>
      </w:r>
      <w:r w:rsidR="00077720">
        <w:rPr>
          <w:rFonts w:ascii="Calibri" w:hAnsi="Calibri" w:cs="Calibri"/>
          <w:color w:val="000000" w:themeColor="text1"/>
        </w:rPr>
        <w:t xml:space="preserve">store the </w:t>
      </w:r>
      <w:r w:rsidR="00077720">
        <w:rPr>
          <w:rFonts w:ascii="Calibri" w:hAnsi="Calibri" w:cs="Calibri"/>
          <w:color w:val="000000" w:themeColor="text1"/>
        </w:rPr>
        <w:lastRenderedPageBreak/>
        <w:t>sample</w:t>
      </w:r>
      <w:r w:rsidRPr="00165515">
        <w:rPr>
          <w:rFonts w:ascii="Calibri" w:hAnsi="Calibri" w:cs="Calibri"/>
          <w:color w:val="000000" w:themeColor="text1"/>
        </w:rPr>
        <w:t xml:space="preserve"> </w:t>
      </w:r>
      <w:proofErr w:type="gramStart"/>
      <w:r w:rsidRPr="00165515">
        <w:rPr>
          <w:rFonts w:ascii="Calibri" w:hAnsi="Calibri" w:cs="Calibri"/>
          <w:color w:val="000000" w:themeColor="text1"/>
        </w:rPr>
        <w:t>to be stained</w:t>
      </w:r>
      <w:proofErr w:type="gramEnd"/>
      <w:r w:rsidRPr="00165515">
        <w:rPr>
          <w:rFonts w:ascii="Calibri" w:hAnsi="Calibri" w:cs="Calibri"/>
          <w:color w:val="000000" w:themeColor="text1"/>
        </w:rPr>
        <w:t xml:space="preserve"> with a goat anti-mouse Alexa 488 antibody in 5% NGS in PBS-T. </w:t>
      </w:r>
      <w:r w:rsidR="00077720">
        <w:rPr>
          <w:rFonts w:ascii="Calibri" w:hAnsi="Calibri" w:cs="Calibri"/>
          <w:color w:val="000000" w:themeColor="text1"/>
        </w:rPr>
        <w:t>S</w:t>
      </w:r>
      <w:r w:rsidRPr="00165515">
        <w:rPr>
          <w:rFonts w:ascii="Calibri" w:hAnsi="Calibri" w:cs="Calibri"/>
          <w:color w:val="000000" w:themeColor="text1"/>
        </w:rPr>
        <w:t>tore 1 mL aliquots of NGS at -20 °C and thaw them as needed.</w:t>
      </w:r>
      <w:r>
        <w:rPr>
          <w:rFonts w:ascii="Calibri" w:hAnsi="Calibri" w:cs="Calibri"/>
          <w:color w:val="000000" w:themeColor="text1"/>
        </w:rPr>
        <w:t xml:space="preserve"> </w:t>
      </w:r>
    </w:p>
    <w:p w14:paraId="26346BDF" w14:textId="77777777" w:rsidR="00D74CC4" w:rsidRPr="00D74CC4" w:rsidRDefault="00D74CC4" w:rsidP="00D74CC4">
      <w:pPr>
        <w:pStyle w:val="ListParagraph"/>
        <w:widowControl w:val="0"/>
        <w:autoSpaceDE w:val="0"/>
        <w:autoSpaceDN w:val="0"/>
        <w:adjustRightInd w:val="0"/>
        <w:spacing w:after="200" w:line="276" w:lineRule="auto"/>
        <w:ind w:left="420"/>
        <w:jc w:val="both"/>
        <w:rPr>
          <w:rFonts w:ascii="Calibri" w:hAnsi="Calibri" w:cs="Calibri"/>
          <w:color w:val="000000" w:themeColor="text1"/>
        </w:rPr>
      </w:pPr>
    </w:p>
    <w:p w14:paraId="4E4B1831" w14:textId="6D9D0E0F" w:rsidR="00D74CC4" w:rsidRPr="00D74CC4" w:rsidRDefault="00165515" w:rsidP="00D74CC4">
      <w:pPr>
        <w:pStyle w:val="ListParagraph"/>
        <w:numPr>
          <w:ilvl w:val="1"/>
          <w:numId w:val="9"/>
        </w:numPr>
        <w:jc w:val="both"/>
        <w:rPr>
          <w:rFonts w:ascii="Calibri" w:hAnsi="Calibri" w:cs="Calibri"/>
          <w:color w:val="000000" w:themeColor="text1"/>
        </w:rPr>
      </w:pPr>
      <w:r w:rsidRPr="00165515">
        <w:rPr>
          <w:rFonts w:ascii="Calibri" w:hAnsi="Calibri" w:cs="Calibri"/>
          <w:color w:val="000000" w:themeColor="text1"/>
          <w:u w:val="single"/>
        </w:rPr>
        <w:t>Antibody concentration</w:t>
      </w:r>
      <w:r w:rsidRPr="00165515">
        <w:rPr>
          <w:rFonts w:ascii="Calibri" w:hAnsi="Calibri" w:cs="Calibri"/>
          <w:color w:val="000000" w:themeColor="text1"/>
        </w:rPr>
        <w:t xml:space="preserve">. Working concentrations of antibodies are determined experimentally. We standardly use secondary antibodies at 1:500. Working dilutions of primary antibodies in our experience can range from 1:10 to 1:5000. To optimize the dilution of primary antibody, we typically test several dilutions starting with 1:100, 1:200, and 1:500, and adjust accordingly. </w:t>
      </w:r>
      <w:r w:rsidR="00675D34">
        <w:rPr>
          <w:rFonts w:ascii="Calibri" w:hAnsi="Calibri" w:cs="Calibri"/>
          <w:color w:val="000000" w:themeColor="text1"/>
        </w:rPr>
        <w:t>If fluorescent signal is too weak or difficult to detect at 1:100, we would test a dilution of 1:30 or 1:50. If fluorescent signal is too high or we see a lot of background noise, we would test a higher dilution.</w:t>
      </w:r>
    </w:p>
    <w:p w14:paraId="5EF73F7A" w14:textId="77777777" w:rsidR="00D74CC4" w:rsidRPr="00165515" w:rsidRDefault="00D74CC4" w:rsidP="00D74CC4">
      <w:pPr>
        <w:pStyle w:val="ListParagraph"/>
        <w:ind w:left="420"/>
        <w:jc w:val="both"/>
        <w:rPr>
          <w:rFonts w:ascii="Calibri" w:hAnsi="Calibri" w:cs="Calibri"/>
          <w:color w:val="000000" w:themeColor="text1"/>
        </w:rPr>
      </w:pPr>
    </w:p>
    <w:p w14:paraId="7124DBDF" w14:textId="4196664F" w:rsidR="00D74CC4" w:rsidRPr="00D74CC4" w:rsidRDefault="00165515" w:rsidP="00D74CC4">
      <w:pPr>
        <w:pStyle w:val="ListParagraph"/>
        <w:numPr>
          <w:ilvl w:val="1"/>
          <w:numId w:val="9"/>
        </w:numPr>
        <w:jc w:val="both"/>
        <w:rPr>
          <w:rFonts w:ascii="Calibri" w:hAnsi="Calibri" w:cs="Calibri"/>
          <w:color w:val="000000" w:themeColor="text1"/>
        </w:rPr>
      </w:pPr>
      <w:r w:rsidRPr="00165515">
        <w:rPr>
          <w:rFonts w:ascii="Calibri" w:hAnsi="Calibri" w:cs="Calibri"/>
          <w:color w:val="000000" w:themeColor="text1"/>
          <w:u w:val="single"/>
        </w:rPr>
        <w:t>Staining with multiple antibodies</w:t>
      </w:r>
      <w:r w:rsidRPr="00165515">
        <w:rPr>
          <w:rFonts w:ascii="Calibri" w:hAnsi="Calibri" w:cs="Calibri"/>
          <w:color w:val="000000" w:themeColor="text1"/>
        </w:rPr>
        <w:t xml:space="preserve">. Be sure that if you use multiple primary antibodies, those antibodies were raised in different host species. Secondary antibodies recognize the heavy chain of the primary antibody host species, and thus cannot differentiate between two primary antibodies against different antigens generated from the same host species. </w:t>
      </w:r>
    </w:p>
    <w:p w14:paraId="689D2F1A" w14:textId="77777777" w:rsidR="00D74CC4" w:rsidRPr="00165515" w:rsidRDefault="00D74CC4" w:rsidP="00D74CC4">
      <w:pPr>
        <w:pStyle w:val="ListParagraph"/>
        <w:ind w:left="420"/>
        <w:jc w:val="both"/>
        <w:rPr>
          <w:rFonts w:ascii="Calibri" w:hAnsi="Calibri" w:cs="Calibri"/>
          <w:color w:val="000000" w:themeColor="text1"/>
        </w:rPr>
      </w:pPr>
    </w:p>
    <w:p w14:paraId="0A105554" w14:textId="45824B17" w:rsidR="00D74CC4" w:rsidRPr="00D74CC4" w:rsidRDefault="00165515" w:rsidP="00D74CC4">
      <w:pPr>
        <w:pStyle w:val="ListParagraph"/>
        <w:numPr>
          <w:ilvl w:val="1"/>
          <w:numId w:val="9"/>
        </w:numPr>
        <w:jc w:val="both"/>
        <w:rPr>
          <w:rFonts w:ascii="Calibri" w:hAnsi="Calibri" w:cs="Calibri"/>
          <w:color w:val="000000" w:themeColor="text1"/>
        </w:rPr>
      </w:pPr>
      <w:r w:rsidRPr="00165515">
        <w:rPr>
          <w:rFonts w:ascii="Calibri" w:hAnsi="Calibri" w:cs="Calibri"/>
          <w:color w:val="000000" w:themeColor="text1"/>
          <w:u w:val="single"/>
        </w:rPr>
        <w:t>Reusing and preserving antibody mixtures.</w:t>
      </w:r>
      <w:r w:rsidRPr="00165515">
        <w:rPr>
          <w:rFonts w:ascii="Calibri" w:hAnsi="Calibri" w:cs="Calibri"/>
          <w:color w:val="000000" w:themeColor="text1"/>
        </w:rPr>
        <w:t xml:space="preserve"> Some antibody mixtures can be saved and reused. Pipette the primary antibody mixture into a 1.5 mL Eppendorf tube and add 1 µL of 10% sodium </w:t>
      </w:r>
      <w:proofErr w:type="spellStart"/>
      <w:r w:rsidRPr="00165515">
        <w:rPr>
          <w:rFonts w:ascii="Calibri" w:hAnsi="Calibri" w:cs="Calibri"/>
          <w:color w:val="000000" w:themeColor="text1"/>
        </w:rPr>
        <w:t>azide</w:t>
      </w:r>
      <w:proofErr w:type="spellEnd"/>
      <w:r w:rsidRPr="00165515">
        <w:rPr>
          <w:rFonts w:ascii="Calibri" w:hAnsi="Calibri" w:cs="Calibri"/>
          <w:color w:val="000000" w:themeColor="text1"/>
        </w:rPr>
        <w:t xml:space="preserve"> to prevent fungal growth</w:t>
      </w:r>
      <w:r w:rsidR="00FC2C8F">
        <w:rPr>
          <w:rFonts w:ascii="Calibri" w:hAnsi="Calibri" w:cs="Calibri"/>
          <w:color w:val="000000" w:themeColor="text1"/>
        </w:rPr>
        <w:t xml:space="preserve"> if the antibody is diluted in block solution</w:t>
      </w:r>
      <w:r w:rsidRPr="00165515">
        <w:rPr>
          <w:rFonts w:ascii="Calibri" w:hAnsi="Calibri" w:cs="Calibri"/>
          <w:color w:val="000000" w:themeColor="text1"/>
        </w:rPr>
        <w:t>. The number of times an antibody can be reused is determined experimentally, based on the strength of the staining and the specificity of the antibody.</w:t>
      </w:r>
    </w:p>
    <w:p w14:paraId="69916659" w14:textId="77777777" w:rsidR="00D74CC4" w:rsidRPr="00165515" w:rsidRDefault="00D74CC4" w:rsidP="00D74CC4">
      <w:pPr>
        <w:pStyle w:val="ListParagraph"/>
        <w:ind w:left="420"/>
        <w:jc w:val="both"/>
        <w:rPr>
          <w:rFonts w:ascii="Calibri" w:hAnsi="Calibri" w:cs="Calibri"/>
          <w:color w:val="000000" w:themeColor="text1"/>
        </w:rPr>
      </w:pPr>
    </w:p>
    <w:p w14:paraId="0AA3ED5C" w14:textId="465AE31F" w:rsidR="00165515" w:rsidRPr="00165515" w:rsidRDefault="00165515" w:rsidP="00631924">
      <w:pPr>
        <w:pStyle w:val="ListParagraph"/>
        <w:numPr>
          <w:ilvl w:val="1"/>
          <w:numId w:val="9"/>
        </w:numPr>
        <w:jc w:val="both"/>
        <w:rPr>
          <w:rFonts w:ascii="Calibri" w:hAnsi="Calibri" w:cs="Calibri"/>
          <w:color w:val="000000" w:themeColor="text1"/>
        </w:rPr>
      </w:pPr>
      <w:r w:rsidRPr="00165515">
        <w:rPr>
          <w:rFonts w:ascii="Calibri" w:hAnsi="Calibri" w:cs="Calibri"/>
          <w:color w:val="000000" w:themeColor="text1"/>
          <w:u w:val="single"/>
        </w:rPr>
        <w:t>Reuse of plastic staining boats.</w:t>
      </w:r>
      <w:r w:rsidRPr="00165515">
        <w:rPr>
          <w:rFonts w:ascii="Calibri" w:hAnsi="Calibri" w:cs="Calibri"/>
          <w:color w:val="000000" w:themeColor="text1"/>
        </w:rPr>
        <w:t xml:space="preserve"> Be sure to properly clean staining boats. Glassware is easier to clean than plastic. </w:t>
      </w:r>
      <w:r w:rsidR="00077720">
        <w:rPr>
          <w:rFonts w:ascii="Calibri" w:hAnsi="Calibri" w:cs="Calibri"/>
          <w:color w:val="000000" w:themeColor="text1"/>
        </w:rPr>
        <w:t>U</w:t>
      </w:r>
      <w:r w:rsidRPr="00165515">
        <w:rPr>
          <w:rFonts w:ascii="Calibri" w:hAnsi="Calibri" w:cs="Calibri"/>
          <w:color w:val="000000" w:themeColor="text1"/>
        </w:rPr>
        <w:t xml:space="preserve">se each well in a 24-well plate once, </w:t>
      </w:r>
      <w:proofErr w:type="gramStart"/>
      <w:r w:rsidRPr="00165515">
        <w:rPr>
          <w:rFonts w:ascii="Calibri" w:hAnsi="Calibri" w:cs="Calibri"/>
          <w:color w:val="000000" w:themeColor="text1"/>
        </w:rPr>
        <w:t>unless repeating</w:t>
      </w:r>
      <w:proofErr w:type="gramEnd"/>
      <w:r w:rsidRPr="00165515">
        <w:rPr>
          <w:rFonts w:ascii="Calibri" w:hAnsi="Calibri" w:cs="Calibri"/>
          <w:color w:val="000000" w:themeColor="text1"/>
        </w:rPr>
        <w:t xml:space="preserve"> </w:t>
      </w:r>
      <w:r w:rsidR="00FC2C8F">
        <w:rPr>
          <w:rFonts w:ascii="Calibri" w:hAnsi="Calibri" w:cs="Calibri"/>
          <w:color w:val="000000" w:themeColor="text1"/>
        </w:rPr>
        <w:t xml:space="preserve">the </w:t>
      </w:r>
      <w:proofErr w:type="gramStart"/>
      <w:r w:rsidRPr="00165515">
        <w:rPr>
          <w:rFonts w:ascii="Calibri" w:hAnsi="Calibri" w:cs="Calibri"/>
          <w:color w:val="000000" w:themeColor="text1"/>
        </w:rPr>
        <w:t>staining</w:t>
      </w:r>
      <w:proofErr w:type="gramEnd"/>
      <w:r w:rsidRPr="00165515">
        <w:rPr>
          <w:rFonts w:ascii="Calibri" w:hAnsi="Calibri" w:cs="Calibri"/>
          <w:color w:val="000000" w:themeColor="text1"/>
        </w:rPr>
        <w:t xml:space="preserve"> with the same antibody/</w:t>
      </w:r>
      <w:proofErr w:type="gramStart"/>
      <w:r w:rsidRPr="00165515">
        <w:rPr>
          <w:rFonts w:ascii="Calibri" w:hAnsi="Calibri" w:cs="Calibri"/>
          <w:color w:val="000000" w:themeColor="text1"/>
        </w:rPr>
        <w:t>stain</w:t>
      </w:r>
      <w:proofErr w:type="gramEnd"/>
      <w:r w:rsidRPr="00165515">
        <w:rPr>
          <w:rFonts w:ascii="Calibri" w:hAnsi="Calibri" w:cs="Calibri"/>
          <w:color w:val="000000" w:themeColor="text1"/>
        </w:rPr>
        <w:t xml:space="preserve">. </w:t>
      </w:r>
    </w:p>
    <w:p w14:paraId="6BA397FC" w14:textId="72574171" w:rsidR="00097E8D" w:rsidRDefault="00097E8D" w:rsidP="00631924">
      <w:pPr>
        <w:pStyle w:val="Heading1JOVE"/>
        <w:numPr>
          <w:ilvl w:val="0"/>
          <w:numId w:val="7"/>
        </w:numPr>
        <w:spacing w:before="0"/>
        <w:rPr>
          <w:shd w:val="clear" w:color="auto" w:fill="FFFFFF"/>
        </w:rPr>
      </w:pPr>
      <w:bookmarkStart w:id="3" w:name="_Toc203070175"/>
      <w:r>
        <w:rPr>
          <w:shd w:val="clear" w:color="auto" w:fill="FFFFFF"/>
        </w:rPr>
        <w:t>Mounting Samples on Slides</w:t>
      </w:r>
      <w:bookmarkEnd w:id="3"/>
    </w:p>
    <w:p w14:paraId="2BC2F46D" w14:textId="77777777" w:rsidR="00C10918" w:rsidRDefault="00C10918" w:rsidP="00631924">
      <w:pPr>
        <w:jc w:val="both"/>
        <w:rPr>
          <w:rFonts w:ascii="Calibri" w:hAnsi="Calibri" w:cs="Calibri"/>
        </w:rPr>
      </w:pPr>
    </w:p>
    <w:p w14:paraId="52D7A7F8" w14:textId="28DFF879" w:rsidR="005862C2" w:rsidRPr="00D74CC4" w:rsidRDefault="005862C2" w:rsidP="00631924">
      <w:pPr>
        <w:pStyle w:val="ListParagraph"/>
        <w:widowControl w:val="0"/>
        <w:numPr>
          <w:ilvl w:val="1"/>
          <w:numId w:val="7"/>
        </w:numPr>
        <w:autoSpaceDE w:val="0"/>
        <w:autoSpaceDN w:val="0"/>
        <w:adjustRightInd w:val="0"/>
        <w:spacing w:after="200" w:line="276" w:lineRule="auto"/>
        <w:jc w:val="both"/>
        <w:rPr>
          <w:rFonts w:ascii="Calibri" w:hAnsi="Calibri" w:cs="Calibri"/>
          <w:color w:val="000000" w:themeColor="text1"/>
          <w:u w:val="single"/>
        </w:rPr>
      </w:pPr>
      <w:r>
        <w:rPr>
          <w:rFonts w:ascii="Calibri" w:hAnsi="Calibri" w:cs="Calibri"/>
          <w:color w:val="000000" w:themeColor="text1"/>
          <w:u w:val="single"/>
        </w:rPr>
        <w:t>Sample orientation</w:t>
      </w:r>
      <w:r w:rsidRPr="005862C2">
        <w:rPr>
          <w:rFonts w:ascii="Calibri" w:hAnsi="Calibri" w:cs="Calibri"/>
          <w:color w:val="000000" w:themeColor="text1"/>
        </w:rPr>
        <w:t xml:space="preserve">. </w:t>
      </w:r>
      <w:r>
        <w:rPr>
          <w:rFonts w:ascii="Calibri" w:hAnsi="Calibri" w:cs="Calibri"/>
          <w:color w:val="000000" w:themeColor="text1"/>
        </w:rPr>
        <w:t>The resolution of fixed sarcomeres at 60x or 100x is poor when imaged through the cuticle, as IFMs tend to be outside of the working distance of the objective if the sample is not oriented correctly. It is thus imperative that IFMs be oriented towards the coverslip</w:t>
      </w:r>
      <w:r w:rsidR="00FC2C8F">
        <w:rPr>
          <w:rFonts w:ascii="Calibri" w:hAnsi="Calibri" w:cs="Calibri"/>
          <w:color w:val="000000" w:themeColor="text1"/>
        </w:rPr>
        <w:t xml:space="preserve"> (designated as “IFM up” in Figure 5)</w:t>
      </w:r>
      <w:r>
        <w:rPr>
          <w:rFonts w:ascii="Calibri" w:hAnsi="Calibri" w:cs="Calibri"/>
          <w:color w:val="000000" w:themeColor="text1"/>
        </w:rPr>
        <w:t xml:space="preserve">. </w:t>
      </w:r>
      <w:r w:rsidR="00A1262A">
        <w:rPr>
          <w:rFonts w:ascii="Calibri" w:hAnsi="Calibri" w:cs="Calibri"/>
          <w:color w:val="000000" w:themeColor="text1"/>
        </w:rPr>
        <w:t>As shown in Figure 5, a</w:t>
      </w:r>
      <w:r>
        <w:rPr>
          <w:rFonts w:ascii="Calibri" w:hAnsi="Calibri" w:cs="Calibri"/>
          <w:color w:val="000000" w:themeColor="text1"/>
        </w:rPr>
        <w:t xml:space="preserve">fter transferring fixed and stained thoraces to a slide, observe the sample under a stereo dissecting microscope and use a pair of #5 forceps to flip any thoraces that are </w:t>
      </w:r>
      <w:r w:rsidR="00853FE7">
        <w:rPr>
          <w:rFonts w:ascii="Calibri" w:hAnsi="Calibri" w:cs="Calibri"/>
          <w:color w:val="000000" w:themeColor="text1"/>
        </w:rPr>
        <w:t>upside down</w:t>
      </w:r>
      <w:r w:rsidR="00A1262A">
        <w:rPr>
          <w:rFonts w:ascii="Calibri" w:hAnsi="Calibri" w:cs="Calibri"/>
          <w:color w:val="000000" w:themeColor="text1"/>
        </w:rPr>
        <w:t xml:space="preserve"> (</w:t>
      </w:r>
      <w:proofErr w:type="spellStart"/>
      <w:r w:rsidR="00A1262A">
        <w:rPr>
          <w:rFonts w:ascii="Calibri" w:hAnsi="Calibri" w:cs="Calibri"/>
          <w:color w:val="000000" w:themeColor="text1"/>
        </w:rPr>
        <w:t>ie</w:t>
      </w:r>
      <w:proofErr w:type="spellEnd"/>
      <w:r w:rsidR="00A1262A">
        <w:rPr>
          <w:rFonts w:ascii="Calibri" w:hAnsi="Calibri" w:cs="Calibri"/>
          <w:color w:val="000000" w:themeColor="text1"/>
        </w:rPr>
        <w:t xml:space="preserve"> that are oriented “cuticle up”)</w:t>
      </w:r>
      <w:r>
        <w:rPr>
          <w:rFonts w:ascii="Calibri" w:hAnsi="Calibri" w:cs="Calibri"/>
          <w:color w:val="000000" w:themeColor="text1"/>
        </w:rPr>
        <w:t>. For open book dissections, the tissue strip is cupped, and the internal side of the cupped shape</w:t>
      </w:r>
      <w:r w:rsidR="00FD53A0">
        <w:rPr>
          <w:rFonts w:ascii="Calibri" w:hAnsi="Calibri" w:cs="Calibri"/>
          <w:color w:val="000000" w:themeColor="text1"/>
        </w:rPr>
        <w:t xml:space="preserve"> where the IFMs are attached to the epidermis should face up towards the coverslip.</w:t>
      </w:r>
      <w:r w:rsidR="007E3DD8">
        <w:rPr>
          <w:rFonts w:ascii="Calibri" w:hAnsi="Calibri" w:cs="Calibri"/>
          <w:color w:val="000000" w:themeColor="text1"/>
        </w:rPr>
        <w:t xml:space="preserve"> The coverslip is only added overtop the sample after all thoraces have been flipped and properly oriented.</w:t>
      </w:r>
    </w:p>
    <w:p w14:paraId="7294793C" w14:textId="77777777" w:rsidR="00D74CC4" w:rsidRDefault="00D74CC4" w:rsidP="00D74CC4">
      <w:pPr>
        <w:pStyle w:val="ListParagraph"/>
        <w:widowControl w:val="0"/>
        <w:autoSpaceDE w:val="0"/>
        <w:autoSpaceDN w:val="0"/>
        <w:adjustRightInd w:val="0"/>
        <w:spacing w:after="200" w:line="276" w:lineRule="auto"/>
        <w:ind w:left="420"/>
        <w:jc w:val="both"/>
        <w:rPr>
          <w:rFonts w:ascii="Calibri" w:hAnsi="Calibri" w:cs="Calibri"/>
          <w:color w:val="000000" w:themeColor="text1"/>
          <w:u w:val="single"/>
        </w:rPr>
      </w:pPr>
    </w:p>
    <w:p w14:paraId="0FD45A26" w14:textId="787F5220" w:rsidR="00D74CC4" w:rsidRPr="00D74CC4" w:rsidRDefault="00C10918" w:rsidP="00D74CC4">
      <w:pPr>
        <w:pStyle w:val="ListParagraph"/>
        <w:widowControl w:val="0"/>
        <w:numPr>
          <w:ilvl w:val="1"/>
          <w:numId w:val="7"/>
        </w:numPr>
        <w:autoSpaceDE w:val="0"/>
        <w:autoSpaceDN w:val="0"/>
        <w:adjustRightInd w:val="0"/>
        <w:spacing w:after="200" w:line="276" w:lineRule="auto"/>
        <w:jc w:val="both"/>
        <w:rPr>
          <w:rFonts w:ascii="Calibri" w:hAnsi="Calibri" w:cs="Calibri"/>
          <w:color w:val="000000" w:themeColor="text1"/>
          <w:u w:val="single"/>
        </w:rPr>
      </w:pPr>
      <w:r>
        <w:rPr>
          <w:rFonts w:ascii="Calibri" w:hAnsi="Calibri" w:cs="Calibri"/>
          <w:color w:val="000000" w:themeColor="text1"/>
          <w:u w:val="single"/>
        </w:rPr>
        <w:lastRenderedPageBreak/>
        <w:t>Mounting medium</w:t>
      </w:r>
      <w:r w:rsidRPr="00C10918">
        <w:rPr>
          <w:rFonts w:ascii="Calibri" w:hAnsi="Calibri" w:cs="Calibri"/>
          <w:color w:val="000000" w:themeColor="text1"/>
        </w:rPr>
        <w:t xml:space="preserve">. </w:t>
      </w:r>
      <w:r>
        <w:rPr>
          <w:rFonts w:ascii="Calibri" w:hAnsi="Calibri" w:cs="Calibri"/>
          <w:color w:val="000000" w:themeColor="text1"/>
        </w:rPr>
        <w:t xml:space="preserve">There are a variety of self-made and commercial mounting media available. </w:t>
      </w:r>
      <w:r w:rsidR="00077720">
        <w:rPr>
          <w:rFonts w:ascii="Calibri" w:hAnsi="Calibri" w:cs="Calibri"/>
          <w:color w:val="000000" w:themeColor="text1"/>
        </w:rPr>
        <w:t>It is</w:t>
      </w:r>
      <w:r>
        <w:rPr>
          <w:rFonts w:ascii="Calibri" w:hAnsi="Calibri" w:cs="Calibri"/>
          <w:color w:val="000000" w:themeColor="text1"/>
        </w:rPr>
        <w:t xml:space="preserve"> recommend</w:t>
      </w:r>
      <w:r w:rsidR="00077720">
        <w:rPr>
          <w:rFonts w:ascii="Calibri" w:hAnsi="Calibri" w:cs="Calibri"/>
          <w:color w:val="000000" w:themeColor="text1"/>
        </w:rPr>
        <w:t xml:space="preserve">ed to use </w:t>
      </w:r>
      <w:r>
        <w:rPr>
          <w:rFonts w:ascii="Calibri" w:hAnsi="Calibri" w:cs="Calibri"/>
          <w:color w:val="000000" w:themeColor="text1"/>
        </w:rPr>
        <w:t>an antifade medium</w:t>
      </w:r>
      <w:r w:rsidR="00863393">
        <w:rPr>
          <w:rFonts w:ascii="Calibri" w:hAnsi="Calibri" w:cs="Calibri"/>
          <w:color w:val="000000" w:themeColor="text1"/>
        </w:rPr>
        <w:t xml:space="preserve"> if performing fluorescent microscopy</w:t>
      </w:r>
      <w:r>
        <w:rPr>
          <w:rFonts w:ascii="Calibri" w:hAnsi="Calibri" w:cs="Calibri"/>
          <w:color w:val="000000" w:themeColor="text1"/>
        </w:rPr>
        <w:t xml:space="preserve"> (see </w:t>
      </w:r>
      <w:r w:rsidRPr="00C10918">
        <w:rPr>
          <w:rFonts w:ascii="Calibri" w:hAnsi="Calibri" w:cs="Calibri"/>
          <w:b/>
          <w:bCs/>
          <w:color w:val="000000" w:themeColor="text1"/>
        </w:rPr>
        <w:t>List of Materials</w:t>
      </w:r>
      <w:r>
        <w:rPr>
          <w:rFonts w:ascii="Calibri" w:hAnsi="Calibri" w:cs="Calibri"/>
          <w:color w:val="000000" w:themeColor="text1"/>
        </w:rPr>
        <w:t xml:space="preserve">). Mounting media containing DAPI effectively label nuclei when samples are incubated several </w:t>
      </w:r>
      <w:r w:rsidR="00077720">
        <w:rPr>
          <w:rFonts w:ascii="Calibri" w:hAnsi="Calibri" w:cs="Calibri"/>
          <w:color w:val="000000" w:themeColor="text1"/>
        </w:rPr>
        <w:t>hours</w:t>
      </w:r>
      <w:r>
        <w:rPr>
          <w:rFonts w:ascii="Calibri" w:hAnsi="Calibri" w:cs="Calibri"/>
          <w:color w:val="000000" w:themeColor="text1"/>
        </w:rPr>
        <w:t xml:space="preserve"> or overnight, to allow time for DAPI to penetrate. They have the drawback, however, that they tend to fill the trachea which </w:t>
      </w:r>
      <w:r w:rsidR="0061285A">
        <w:rPr>
          <w:rFonts w:ascii="Calibri" w:hAnsi="Calibri" w:cs="Calibri"/>
          <w:color w:val="000000" w:themeColor="text1"/>
        </w:rPr>
        <w:t>can obscure</w:t>
      </w:r>
      <w:r>
        <w:rPr>
          <w:rFonts w:ascii="Calibri" w:hAnsi="Calibri" w:cs="Calibri"/>
          <w:color w:val="000000" w:themeColor="text1"/>
        </w:rPr>
        <w:t xml:space="preserve"> motor neuron staining</w:t>
      </w:r>
      <w:r w:rsidRPr="00C10918">
        <w:rPr>
          <w:rFonts w:ascii="Calibri" w:hAnsi="Calibri" w:cs="Calibri"/>
          <w:color w:val="000000" w:themeColor="text1"/>
        </w:rPr>
        <w:t xml:space="preserve">. </w:t>
      </w:r>
      <w:r w:rsidR="00683FC6">
        <w:rPr>
          <w:rFonts w:ascii="Calibri" w:hAnsi="Calibri" w:cs="Calibri"/>
          <w:color w:val="000000" w:themeColor="text1"/>
        </w:rPr>
        <w:t xml:space="preserve">If motor neuron labeling is </w:t>
      </w:r>
      <w:r w:rsidR="00FE2F58">
        <w:rPr>
          <w:rFonts w:ascii="Calibri" w:hAnsi="Calibri" w:cs="Calibri"/>
          <w:color w:val="000000" w:themeColor="text1"/>
        </w:rPr>
        <w:t>desired, use a mounting medium without DAPI and include DAPI staining during a wash step prior to mounting.</w:t>
      </w:r>
    </w:p>
    <w:p w14:paraId="58A011B6" w14:textId="77777777" w:rsidR="00D74CC4" w:rsidRPr="00D74CC4" w:rsidRDefault="00D74CC4" w:rsidP="00D74CC4">
      <w:pPr>
        <w:pStyle w:val="ListParagraph"/>
        <w:widowControl w:val="0"/>
        <w:autoSpaceDE w:val="0"/>
        <w:autoSpaceDN w:val="0"/>
        <w:adjustRightInd w:val="0"/>
        <w:spacing w:after="200" w:line="276" w:lineRule="auto"/>
        <w:ind w:left="420"/>
        <w:jc w:val="both"/>
        <w:rPr>
          <w:rFonts w:ascii="Calibri" w:hAnsi="Calibri" w:cs="Calibri"/>
          <w:color w:val="000000" w:themeColor="text1"/>
          <w:u w:val="single"/>
        </w:rPr>
      </w:pPr>
    </w:p>
    <w:p w14:paraId="4054C3C7" w14:textId="08CDD193" w:rsidR="00D74CC4" w:rsidRPr="00D74CC4" w:rsidRDefault="005862C2" w:rsidP="00D74CC4">
      <w:pPr>
        <w:pStyle w:val="ListParagraph"/>
        <w:widowControl w:val="0"/>
        <w:numPr>
          <w:ilvl w:val="1"/>
          <w:numId w:val="7"/>
        </w:numPr>
        <w:autoSpaceDE w:val="0"/>
        <w:autoSpaceDN w:val="0"/>
        <w:adjustRightInd w:val="0"/>
        <w:spacing w:after="200" w:line="276" w:lineRule="auto"/>
        <w:jc w:val="both"/>
        <w:rPr>
          <w:rFonts w:ascii="Calibri" w:hAnsi="Calibri" w:cs="Calibri"/>
          <w:color w:val="000000" w:themeColor="text1"/>
          <w:u w:val="single"/>
        </w:rPr>
      </w:pPr>
      <w:r>
        <w:rPr>
          <w:rFonts w:ascii="Calibri" w:hAnsi="Calibri" w:cs="Calibri"/>
          <w:color w:val="000000" w:themeColor="text1"/>
          <w:u w:val="single"/>
        </w:rPr>
        <w:t>Self-hardening media.</w:t>
      </w:r>
      <w:r>
        <w:rPr>
          <w:rFonts w:ascii="Calibri" w:hAnsi="Calibri" w:cs="Calibri"/>
          <w:color w:val="000000" w:themeColor="text1"/>
        </w:rPr>
        <w:t xml:space="preserve"> Cryosections or cell-culture samples are often mounted with self-hardening media that self-seal a coverslip. </w:t>
      </w:r>
      <w:r w:rsidR="00F9031E">
        <w:rPr>
          <w:rFonts w:ascii="Calibri" w:hAnsi="Calibri" w:cs="Calibri"/>
          <w:color w:val="000000" w:themeColor="text1"/>
        </w:rPr>
        <w:t xml:space="preserve">If using self-hardening media, select one with a set time of several </w:t>
      </w:r>
      <w:r w:rsidR="00077720">
        <w:rPr>
          <w:rFonts w:ascii="Calibri" w:hAnsi="Calibri" w:cs="Calibri"/>
          <w:color w:val="000000" w:themeColor="text1"/>
        </w:rPr>
        <w:t>hours</w:t>
      </w:r>
      <w:r w:rsidR="00F9031E">
        <w:rPr>
          <w:rFonts w:ascii="Calibri" w:hAnsi="Calibri" w:cs="Calibri"/>
          <w:color w:val="000000" w:themeColor="text1"/>
        </w:rPr>
        <w:t>. Quick-set self-hardening</w:t>
      </w:r>
      <w:r>
        <w:rPr>
          <w:rFonts w:ascii="Calibri" w:hAnsi="Calibri" w:cs="Calibri"/>
          <w:color w:val="000000" w:themeColor="text1"/>
        </w:rPr>
        <w:t xml:space="preserve"> media do not work well for wet-mounts in this protocol, as they tend to harden before sample orientation can be completed. </w:t>
      </w:r>
      <w:r w:rsidR="00555F0D">
        <w:rPr>
          <w:rFonts w:ascii="Calibri" w:hAnsi="Calibri" w:cs="Calibri"/>
          <w:color w:val="000000" w:themeColor="text1"/>
        </w:rPr>
        <w:t>The samples cannot be easily extracted from hardened medium without damaging the IFMs.</w:t>
      </w:r>
    </w:p>
    <w:p w14:paraId="62C87C48" w14:textId="77777777" w:rsidR="00D74CC4" w:rsidRPr="005365B8" w:rsidRDefault="00D74CC4" w:rsidP="00D74CC4">
      <w:pPr>
        <w:pStyle w:val="ListParagraph"/>
        <w:widowControl w:val="0"/>
        <w:autoSpaceDE w:val="0"/>
        <w:autoSpaceDN w:val="0"/>
        <w:adjustRightInd w:val="0"/>
        <w:spacing w:after="200" w:line="276" w:lineRule="auto"/>
        <w:ind w:left="420"/>
        <w:jc w:val="both"/>
        <w:rPr>
          <w:rFonts w:ascii="Calibri" w:hAnsi="Calibri" w:cs="Calibri"/>
          <w:color w:val="000000" w:themeColor="text1"/>
          <w:u w:val="single"/>
        </w:rPr>
      </w:pPr>
    </w:p>
    <w:p w14:paraId="64156457" w14:textId="59E958FC" w:rsidR="002341DA" w:rsidRPr="007C5DB8" w:rsidRDefault="005365B8" w:rsidP="00631924">
      <w:pPr>
        <w:pStyle w:val="ListParagraph"/>
        <w:widowControl w:val="0"/>
        <w:numPr>
          <w:ilvl w:val="1"/>
          <w:numId w:val="7"/>
        </w:numPr>
        <w:autoSpaceDE w:val="0"/>
        <w:autoSpaceDN w:val="0"/>
        <w:adjustRightInd w:val="0"/>
        <w:spacing w:after="200" w:line="276" w:lineRule="auto"/>
        <w:jc w:val="both"/>
        <w:rPr>
          <w:rFonts w:ascii="Calibri" w:hAnsi="Calibri" w:cs="Calibri"/>
          <w:color w:val="000000" w:themeColor="text1"/>
          <w:u w:val="single"/>
        </w:rPr>
      </w:pPr>
      <w:r>
        <w:rPr>
          <w:rFonts w:ascii="Calibri" w:hAnsi="Calibri" w:cs="Calibri"/>
          <w:color w:val="000000" w:themeColor="text1"/>
          <w:u w:val="single"/>
        </w:rPr>
        <w:t>Air bubbles</w:t>
      </w:r>
      <w:r>
        <w:rPr>
          <w:rFonts w:ascii="Calibri" w:hAnsi="Calibri" w:cs="Calibri"/>
          <w:color w:val="000000" w:themeColor="text1"/>
        </w:rPr>
        <w:t xml:space="preserve">. When backfilling the slide with mounting medium, avoid creating bubbles as they interfere with fluorescence imaging. If the nail polish seal cracks, it is likely the </w:t>
      </w:r>
      <w:r w:rsidR="00555F0D">
        <w:rPr>
          <w:rFonts w:ascii="Calibri" w:hAnsi="Calibri" w:cs="Calibri"/>
          <w:color w:val="000000" w:themeColor="text1"/>
        </w:rPr>
        <w:t xml:space="preserve">liquid </w:t>
      </w:r>
      <w:r>
        <w:rPr>
          <w:rFonts w:ascii="Calibri" w:hAnsi="Calibri" w:cs="Calibri"/>
          <w:color w:val="000000" w:themeColor="text1"/>
        </w:rPr>
        <w:t xml:space="preserve">mounting medium will evaporate or leak and bubbles will form. This can be remedied by first removing the broken section of nail polish, refilling the mounting medium using a pipette tip, and resealing the coverslip with new nail polish. It is also possible to completely remove a coverslip and remount the thorax samples (removing air bubbles in the process), provided the samples are not dried out. </w:t>
      </w:r>
    </w:p>
    <w:p w14:paraId="4F78A9DC" w14:textId="77777777" w:rsidR="00097E8D" w:rsidRDefault="00097E8D" w:rsidP="00631924">
      <w:pPr>
        <w:pStyle w:val="Heading1JOVE"/>
        <w:numPr>
          <w:ilvl w:val="0"/>
          <w:numId w:val="2"/>
        </w:numPr>
        <w:spacing w:before="0"/>
      </w:pPr>
      <w:bookmarkStart w:id="4" w:name="_Toc203070176"/>
      <w:r w:rsidRPr="004B591F">
        <w:t>Buffer Recipes</w:t>
      </w:r>
      <w:bookmarkEnd w:id="4"/>
    </w:p>
    <w:p w14:paraId="715D4DE7" w14:textId="77777777" w:rsidR="007C5DB8" w:rsidRPr="007C5DB8" w:rsidRDefault="007C5DB8" w:rsidP="00631924">
      <w:pPr>
        <w:jc w:val="both"/>
      </w:pPr>
    </w:p>
    <w:p w14:paraId="5CC246E7" w14:textId="69769E1B" w:rsidR="005F644E" w:rsidRDefault="000D072A" w:rsidP="00631924">
      <w:pPr>
        <w:pStyle w:val="ListParagraph"/>
        <w:numPr>
          <w:ilvl w:val="1"/>
          <w:numId w:val="2"/>
        </w:numPr>
        <w:spacing w:after="0" w:line="240" w:lineRule="auto"/>
        <w:jc w:val="both"/>
        <w:rPr>
          <w:rFonts w:ascii="Calibri" w:hAnsi="Calibri" w:cs="Calibri"/>
          <w:color w:val="202124"/>
          <w:shd w:val="clear" w:color="auto" w:fill="FFFFFF"/>
        </w:rPr>
      </w:pPr>
      <w:r w:rsidRPr="00D271DA">
        <w:rPr>
          <w:rFonts w:ascii="Calibri" w:hAnsi="Calibri" w:cs="Calibri"/>
          <w:color w:val="202124"/>
          <w:u w:val="single"/>
          <w:shd w:val="clear" w:color="auto" w:fill="FFFFFF"/>
        </w:rPr>
        <w:t xml:space="preserve">10x </w:t>
      </w:r>
      <w:r w:rsidR="005F644E" w:rsidRPr="00D271DA">
        <w:rPr>
          <w:rFonts w:ascii="Calibri" w:hAnsi="Calibri" w:cs="Calibri"/>
          <w:color w:val="202124"/>
          <w:u w:val="single"/>
          <w:shd w:val="clear" w:color="auto" w:fill="FFFFFF"/>
        </w:rPr>
        <w:t>PBS</w:t>
      </w:r>
      <w:r w:rsidR="00D271DA" w:rsidRPr="00D271DA">
        <w:rPr>
          <w:rFonts w:ascii="Calibri" w:hAnsi="Calibri" w:cs="Calibri"/>
          <w:color w:val="202124"/>
          <w:u w:val="single"/>
          <w:shd w:val="clear" w:color="auto" w:fill="FFFFFF"/>
        </w:rPr>
        <w:t xml:space="preserve"> stock solution</w:t>
      </w:r>
      <w:r w:rsidR="00846B54">
        <w:rPr>
          <w:rFonts w:ascii="Calibri" w:hAnsi="Calibri" w:cs="Calibri"/>
          <w:color w:val="202124"/>
          <w:u w:val="single"/>
          <w:shd w:val="clear" w:color="auto" w:fill="FFFFFF"/>
        </w:rPr>
        <w:fldChar w:fldCharType="begin"/>
      </w:r>
      <w:r w:rsidR="00613D2E">
        <w:rPr>
          <w:rFonts w:ascii="Calibri" w:hAnsi="Calibri" w:cs="Calibri"/>
          <w:color w:val="202124"/>
          <w:u w:val="single"/>
          <w:shd w:val="clear" w:color="auto" w:fill="FFFFFF"/>
        </w:rPr>
        <w:instrText xml:space="preserve"> ADDIN ZOTERO_ITEM CSL_CITATION {"citationID":"MDDFIL1w","properties":{"formattedCitation":"\\super 5\\nosupersub{}","plainCitation":"5","noteIndex":0},"citationItems":[{"id":3074,"uris":["http://zotero.org/users/10474248/items/2KX5H2JG"],"itemData":{"id":3074,"type":"article-journal","container-title":"Cold Spring Harbor Protocols","DOI":"10.1101/pdb.rec8247","ISSN":"1940-3402, 1559-6095","issue":"1","journalAbbreviation":"Cold Spring Harb Protoc","language":"en","note":"publisher: Cold Spring Harbor Laboratory Press","page":"pdb.rec8247","source":"cshprotocols.cshlp.org","title":"Phosphate-buffered saline (PBS)","volume":"2006","issued":{"date-parts":[["2006",6,1]]}}}],"schema":"https://github.com/citation-style-language/schema/raw/master/csl-citation.json"} </w:instrText>
      </w:r>
      <w:r w:rsidR="00846B54">
        <w:rPr>
          <w:rFonts w:ascii="Calibri" w:hAnsi="Calibri" w:cs="Calibri"/>
          <w:color w:val="202124"/>
          <w:u w:val="single"/>
          <w:shd w:val="clear" w:color="auto" w:fill="FFFFFF"/>
        </w:rPr>
        <w:fldChar w:fldCharType="separate"/>
      </w:r>
      <w:r w:rsidR="00613D2E" w:rsidRPr="00613D2E">
        <w:rPr>
          <w:rFonts w:ascii="Calibri" w:hAnsi="Calibri" w:cs="Calibri"/>
          <w:color w:val="000000"/>
          <w:vertAlign w:val="superscript"/>
        </w:rPr>
        <w:t>5</w:t>
      </w:r>
      <w:r w:rsidR="00846B54">
        <w:rPr>
          <w:rFonts w:ascii="Calibri" w:hAnsi="Calibri" w:cs="Calibri"/>
          <w:color w:val="202124"/>
          <w:u w:val="single"/>
          <w:shd w:val="clear" w:color="auto" w:fill="FFFFFF"/>
        </w:rPr>
        <w:fldChar w:fldCharType="end"/>
      </w:r>
      <w:r w:rsidR="00077720">
        <w:rPr>
          <w:rFonts w:ascii="Calibri" w:hAnsi="Calibri" w:cs="Calibri"/>
          <w:color w:val="202124"/>
          <w:shd w:val="clear" w:color="auto" w:fill="FFFFFF"/>
        </w:rPr>
        <w:t>:</w:t>
      </w:r>
      <w:r w:rsidR="005F644E">
        <w:rPr>
          <w:rFonts w:ascii="Calibri" w:hAnsi="Calibri" w:cs="Calibri"/>
          <w:color w:val="202124"/>
          <w:shd w:val="clear" w:color="auto" w:fill="FFFFFF"/>
        </w:rPr>
        <w:t xml:space="preserve"> </w:t>
      </w:r>
      <w:r w:rsidR="00027B7C">
        <w:rPr>
          <w:rFonts w:ascii="Calibri" w:hAnsi="Calibri" w:cs="Calibri"/>
          <w:color w:val="202124"/>
          <w:shd w:val="clear" w:color="auto" w:fill="FFFFFF"/>
        </w:rPr>
        <w:t xml:space="preserve">1.37 M NaCl, 27 mM </w:t>
      </w:r>
      <w:proofErr w:type="spellStart"/>
      <w:r w:rsidR="00027B7C">
        <w:rPr>
          <w:rFonts w:ascii="Calibri" w:hAnsi="Calibri" w:cs="Calibri"/>
          <w:color w:val="202124"/>
          <w:shd w:val="clear" w:color="auto" w:fill="FFFFFF"/>
        </w:rPr>
        <w:t>KCl</w:t>
      </w:r>
      <w:proofErr w:type="spellEnd"/>
      <w:r w:rsidR="00027B7C">
        <w:rPr>
          <w:rFonts w:ascii="Calibri" w:hAnsi="Calibri" w:cs="Calibri"/>
          <w:color w:val="202124"/>
          <w:shd w:val="clear" w:color="auto" w:fill="FFFFFF"/>
        </w:rPr>
        <w:t xml:space="preserve">, 100 mM </w:t>
      </w:r>
      <w:r w:rsidR="00027B7C" w:rsidRPr="000B3B31">
        <w:rPr>
          <w:rFonts w:ascii="Calibri" w:hAnsi="Calibri" w:cs="Calibri"/>
        </w:rPr>
        <w:t>Na</w:t>
      </w:r>
      <w:r w:rsidR="00027B7C" w:rsidRPr="000B3B31">
        <w:rPr>
          <w:rFonts w:ascii="Calibri" w:hAnsi="Calibri" w:cs="Calibri"/>
          <w:vertAlign w:val="subscript"/>
        </w:rPr>
        <w:t>2</w:t>
      </w:r>
      <w:r w:rsidR="00027B7C" w:rsidRPr="000B3B31">
        <w:rPr>
          <w:rFonts w:ascii="Calibri" w:hAnsi="Calibri" w:cs="Calibri"/>
        </w:rPr>
        <w:t>HPO</w:t>
      </w:r>
      <w:r w:rsidR="00027B7C" w:rsidRPr="000B3B31">
        <w:rPr>
          <w:rFonts w:ascii="Calibri" w:hAnsi="Calibri" w:cs="Calibri"/>
          <w:vertAlign w:val="subscript"/>
        </w:rPr>
        <w:t>4</w:t>
      </w:r>
      <w:r w:rsidR="00027B7C">
        <w:rPr>
          <w:rFonts w:ascii="Calibri" w:hAnsi="Calibri" w:cs="Calibri"/>
        </w:rPr>
        <w:t>, and 18 mM K</w:t>
      </w:r>
      <w:r w:rsidR="00027B7C" w:rsidRPr="000B3B31">
        <w:rPr>
          <w:rFonts w:ascii="Calibri" w:hAnsi="Calibri" w:cs="Calibri"/>
        </w:rPr>
        <w:t>H</w:t>
      </w:r>
      <w:r w:rsidR="00027B7C" w:rsidRPr="000B3B31">
        <w:rPr>
          <w:rFonts w:ascii="Calibri" w:hAnsi="Calibri" w:cs="Calibri"/>
          <w:vertAlign w:val="subscript"/>
        </w:rPr>
        <w:t>2</w:t>
      </w:r>
      <w:r w:rsidR="00027B7C" w:rsidRPr="000B3B31">
        <w:rPr>
          <w:rFonts w:ascii="Calibri" w:hAnsi="Calibri" w:cs="Calibri"/>
        </w:rPr>
        <w:t>PO</w:t>
      </w:r>
      <w:r w:rsidR="00027B7C" w:rsidRPr="000B3B31">
        <w:rPr>
          <w:rFonts w:ascii="Calibri" w:hAnsi="Calibri" w:cs="Calibri"/>
          <w:vertAlign w:val="subscript"/>
        </w:rPr>
        <w:t>4</w:t>
      </w:r>
      <w:r w:rsidR="00027B7C">
        <w:rPr>
          <w:rFonts w:ascii="Calibri" w:hAnsi="Calibri" w:cs="Calibri"/>
        </w:rPr>
        <w:t xml:space="preserve">. </w:t>
      </w:r>
      <w:r>
        <w:rPr>
          <w:rFonts w:ascii="Calibri" w:hAnsi="Calibri" w:cs="Calibri"/>
          <w:color w:val="202124"/>
          <w:shd w:val="clear" w:color="auto" w:fill="FFFFFF"/>
        </w:rPr>
        <w:t xml:space="preserve">In a final volume of 1 L, combine </w:t>
      </w:r>
      <w:r w:rsidR="00027B7C">
        <w:rPr>
          <w:rFonts w:ascii="Calibri" w:hAnsi="Calibri" w:cs="Calibri"/>
          <w:color w:val="202124"/>
          <w:shd w:val="clear" w:color="auto" w:fill="FFFFFF"/>
        </w:rPr>
        <w:t xml:space="preserve">80 g </w:t>
      </w:r>
      <w:r>
        <w:rPr>
          <w:rFonts w:ascii="Calibri" w:hAnsi="Calibri" w:cs="Calibri"/>
          <w:color w:val="202124"/>
          <w:shd w:val="clear" w:color="auto" w:fill="FFFFFF"/>
        </w:rPr>
        <w:t xml:space="preserve">NaCl, </w:t>
      </w:r>
      <w:r w:rsidR="00027B7C">
        <w:rPr>
          <w:rFonts w:ascii="Calibri" w:hAnsi="Calibri" w:cs="Calibri"/>
          <w:color w:val="202124"/>
          <w:shd w:val="clear" w:color="auto" w:fill="FFFFFF"/>
        </w:rPr>
        <w:t xml:space="preserve">2 g </w:t>
      </w:r>
      <w:proofErr w:type="spellStart"/>
      <w:r>
        <w:rPr>
          <w:rFonts w:ascii="Calibri" w:hAnsi="Calibri" w:cs="Calibri"/>
          <w:color w:val="202124"/>
          <w:shd w:val="clear" w:color="auto" w:fill="FFFFFF"/>
        </w:rPr>
        <w:t>KCl</w:t>
      </w:r>
      <w:proofErr w:type="spellEnd"/>
      <w:r>
        <w:rPr>
          <w:rFonts w:ascii="Calibri" w:hAnsi="Calibri" w:cs="Calibri"/>
          <w:color w:val="202124"/>
          <w:shd w:val="clear" w:color="auto" w:fill="FFFFFF"/>
        </w:rPr>
        <w:t xml:space="preserve">, </w:t>
      </w:r>
      <w:r w:rsidR="00027B7C">
        <w:rPr>
          <w:rFonts w:ascii="Calibri" w:hAnsi="Calibri" w:cs="Calibri"/>
        </w:rPr>
        <w:t>14.4 g</w:t>
      </w:r>
      <w:r w:rsidR="00027B7C" w:rsidRPr="000B3B31">
        <w:rPr>
          <w:rFonts w:ascii="Calibri" w:hAnsi="Calibri" w:cs="Calibri"/>
        </w:rPr>
        <w:t xml:space="preserve"> </w:t>
      </w:r>
      <w:r w:rsidRPr="000B3B31">
        <w:rPr>
          <w:rFonts w:ascii="Calibri" w:hAnsi="Calibri" w:cs="Calibri"/>
        </w:rPr>
        <w:t>Na</w:t>
      </w:r>
      <w:r w:rsidRPr="000B3B31">
        <w:rPr>
          <w:rFonts w:ascii="Calibri" w:hAnsi="Calibri" w:cs="Calibri"/>
          <w:vertAlign w:val="subscript"/>
        </w:rPr>
        <w:t>2</w:t>
      </w:r>
      <w:r w:rsidRPr="000B3B31">
        <w:rPr>
          <w:rFonts w:ascii="Calibri" w:hAnsi="Calibri" w:cs="Calibri"/>
        </w:rPr>
        <w:t>HPO</w:t>
      </w:r>
      <w:r w:rsidRPr="000B3B31">
        <w:rPr>
          <w:rFonts w:ascii="Calibri" w:hAnsi="Calibri" w:cs="Calibri"/>
          <w:vertAlign w:val="subscript"/>
        </w:rPr>
        <w:t>4</w:t>
      </w:r>
      <w:r>
        <w:rPr>
          <w:rFonts w:ascii="Calibri" w:hAnsi="Calibri" w:cs="Calibri"/>
        </w:rPr>
        <w:t xml:space="preserve">, </w:t>
      </w:r>
      <w:r w:rsidR="00D271DA">
        <w:rPr>
          <w:rFonts w:ascii="Calibri" w:hAnsi="Calibri" w:cs="Calibri"/>
        </w:rPr>
        <w:t>and</w:t>
      </w:r>
      <w:r>
        <w:rPr>
          <w:rFonts w:ascii="Calibri" w:hAnsi="Calibri" w:cs="Calibri"/>
        </w:rPr>
        <w:t xml:space="preserve"> </w:t>
      </w:r>
      <w:r w:rsidR="00027B7C">
        <w:rPr>
          <w:rFonts w:ascii="Calibri" w:hAnsi="Calibri" w:cs="Calibri"/>
        </w:rPr>
        <w:t xml:space="preserve">2.4 g </w:t>
      </w:r>
      <w:r>
        <w:rPr>
          <w:rFonts w:ascii="Calibri" w:hAnsi="Calibri" w:cs="Calibri"/>
        </w:rPr>
        <w:t>K</w:t>
      </w:r>
      <w:r w:rsidRPr="000B3B31">
        <w:rPr>
          <w:rFonts w:ascii="Calibri" w:hAnsi="Calibri" w:cs="Calibri"/>
        </w:rPr>
        <w:t>H</w:t>
      </w:r>
      <w:r w:rsidRPr="000B3B31">
        <w:rPr>
          <w:rFonts w:ascii="Calibri" w:hAnsi="Calibri" w:cs="Calibri"/>
          <w:vertAlign w:val="subscript"/>
        </w:rPr>
        <w:t>2</w:t>
      </w:r>
      <w:r w:rsidRPr="000B3B31">
        <w:rPr>
          <w:rFonts w:ascii="Calibri" w:hAnsi="Calibri" w:cs="Calibri"/>
        </w:rPr>
        <w:t>PO</w:t>
      </w:r>
      <w:r w:rsidRPr="000B3B31">
        <w:rPr>
          <w:rFonts w:ascii="Calibri" w:hAnsi="Calibri" w:cs="Calibri"/>
          <w:vertAlign w:val="subscript"/>
        </w:rPr>
        <w:t>4</w:t>
      </w:r>
      <w:r>
        <w:rPr>
          <w:rFonts w:ascii="Calibri" w:hAnsi="Calibri" w:cs="Calibri"/>
        </w:rPr>
        <w:t xml:space="preserve">. </w:t>
      </w:r>
      <w:r w:rsidR="00D271DA">
        <w:rPr>
          <w:rFonts w:ascii="Calibri" w:hAnsi="Calibri" w:cs="Calibri"/>
        </w:rPr>
        <w:t xml:space="preserve">Filter </w:t>
      </w:r>
      <w:proofErr w:type="gramStart"/>
      <w:r w:rsidR="00D271DA">
        <w:rPr>
          <w:rFonts w:ascii="Calibri" w:hAnsi="Calibri" w:cs="Calibri"/>
        </w:rPr>
        <w:t>steril</w:t>
      </w:r>
      <w:r w:rsidR="00027B7C">
        <w:rPr>
          <w:rFonts w:ascii="Calibri" w:hAnsi="Calibri" w:cs="Calibri"/>
        </w:rPr>
        <w:t>iz</w:t>
      </w:r>
      <w:r w:rsidR="00D271DA">
        <w:rPr>
          <w:rFonts w:ascii="Calibri" w:hAnsi="Calibri" w:cs="Calibri"/>
        </w:rPr>
        <w:t>e</w:t>
      </w:r>
      <w:proofErr w:type="gramEnd"/>
      <w:r w:rsidR="00D271DA">
        <w:rPr>
          <w:rFonts w:ascii="Calibri" w:hAnsi="Calibri" w:cs="Calibri"/>
        </w:rPr>
        <w:t>. Dilute 1:10</w:t>
      </w:r>
      <w:r w:rsidR="00434395">
        <w:rPr>
          <w:rFonts w:ascii="Calibri" w:hAnsi="Calibri" w:cs="Calibri"/>
        </w:rPr>
        <w:t xml:space="preserve"> v/v</w:t>
      </w:r>
      <w:r w:rsidR="00D271DA">
        <w:rPr>
          <w:rFonts w:ascii="Calibri" w:hAnsi="Calibri" w:cs="Calibri"/>
        </w:rPr>
        <w:t xml:space="preserve"> in water to generate 1x PBS.</w:t>
      </w:r>
      <w:r w:rsidR="009218BF">
        <w:rPr>
          <w:rFonts w:ascii="Calibri" w:hAnsi="Calibri" w:cs="Calibri"/>
        </w:rPr>
        <w:t xml:space="preserve"> </w:t>
      </w:r>
    </w:p>
    <w:p w14:paraId="35EB61E6" w14:textId="77777777" w:rsidR="00394110" w:rsidRDefault="00394110" w:rsidP="00631924">
      <w:pPr>
        <w:pStyle w:val="ListParagraph"/>
        <w:spacing w:after="0" w:line="240" w:lineRule="auto"/>
        <w:ind w:left="420"/>
        <w:jc w:val="both"/>
        <w:rPr>
          <w:rFonts w:ascii="Calibri" w:hAnsi="Calibri" w:cs="Calibri"/>
          <w:color w:val="202124"/>
          <w:shd w:val="clear" w:color="auto" w:fill="FFFFFF"/>
        </w:rPr>
      </w:pPr>
    </w:p>
    <w:p w14:paraId="563A13F1" w14:textId="3B10CBCA" w:rsidR="002956F3" w:rsidRDefault="002956F3" w:rsidP="00631924">
      <w:pPr>
        <w:pStyle w:val="ListParagraph"/>
        <w:numPr>
          <w:ilvl w:val="1"/>
          <w:numId w:val="2"/>
        </w:numPr>
        <w:spacing w:after="0" w:line="240" w:lineRule="auto"/>
        <w:jc w:val="both"/>
        <w:rPr>
          <w:rFonts w:ascii="Calibri" w:hAnsi="Calibri" w:cs="Calibri"/>
          <w:color w:val="202124"/>
          <w:shd w:val="clear" w:color="auto" w:fill="FFFFFF"/>
        </w:rPr>
      </w:pPr>
      <w:r w:rsidRPr="0080024F">
        <w:rPr>
          <w:rFonts w:ascii="Calibri" w:hAnsi="Calibri" w:cs="Calibri"/>
          <w:color w:val="202124"/>
          <w:u w:val="single"/>
          <w:shd w:val="clear" w:color="auto" w:fill="FFFFFF"/>
        </w:rPr>
        <w:t>0.05% PBS-T</w:t>
      </w:r>
      <w:r w:rsidR="00077720">
        <w:rPr>
          <w:rFonts w:ascii="Calibri" w:hAnsi="Calibri" w:cs="Calibri"/>
          <w:color w:val="202124"/>
          <w:shd w:val="clear" w:color="auto" w:fill="FFFFFF"/>
        </w:rPr>
        <w:t>:</w:t>
      </w:r>
      <w:r w:rsidR="0080024F">
        <w:rPr>
          <w:rFonts w:ascii="Calibri" w:hAnsi="Calibri" w:cs="Calibri"/>
          <w:color w:val="202124"/>
          <w:shd w:val="clear" w:color="auto" w:fill="FFFFFF"/>
        </w:rPr>
        <w:t xml:space="preserve"> Prepare a stock solution of </w:t>
      </w:r>
      <w:r w:rsidR="009527D3">
        <w:rPr>
          <w:rFonts w:ascii="Calibri" w:hAnsi="Calibri" w:cs="Calibri"/>
          <w:color w:val="202124"/>
          <w:shd w:val="clear" w:color="auto" w:fill="FFFFFF"/>
        </w:rPr>
        <w:t>1</w:t>
      </w:r>
      <w:r w:rsidR="0080024F">
        <w:rPr>
          <w:rFonts w:ascii="Calibri" w:hAnsi="Calibri" w:cs="Calibri"/>
          <w:color w:val="202124"/>
          <w:shd w:val="clear" w:color="auto" w:fill="FFFFFF"/>
        </w:rPr>
        <w:t xml:space="preserve">0% </w:t>
      </w:r>
      <w:r w:rsidR="00434395">
        <w:rPr>
          <w:rFonts w:ascii="Calibri" w:hAnsi="Calibri" w:cs="Calibri"/>
          <w:color w:val="202124"/>
          <w:shd w:val="clear" w:color="auto" w:fill="FFFFFF"/>
        </w:rPr>
        <w:t xml:space="preserve">v/v </w:t>
      </w:r>
      <w:r w:rsidR="0080024F">
        <w:rPr>
          <w:rFonts w:ascii="Calibri" w:hAnsi="Calibri" w:cs="Calibri"/>
          <w:color w:val="202124"/>
          <w:shd w:val="clear" w:color="auto" w:fill="FFFFFF"/>
        </w:rPr>
        <w:t>Triton X-100</w:t>
      </w:r>
      <w:r w:rsidR="009527D3">
        <w:rPr>
          <w:rFonts w:ascii="Calibri" w:hAnsi="Calibri" w:cs="Calibri"/>
          <w:color w:val="202124"/>
          <w:shd w:val="clear" w:color="auto" w:fill="FFFFFF"/>
        </w:rPr>
        <w:t xml:space="preserve"> in water</w:t>
      </w:r>
      <w:r w:rsidR="0080024F">
        <w:rPr>
          <w:rFonts w:ascii="Calibri" w:hAnsi="Calibri" w:cs="Calibri"/>
          <w:color w:val="202124"/>
          <w:shd w:val="clear" w:color="auto" w:fill="FFFFFF"/>
        </w:rPr>
        <w:t>.</w:t>
      </w:r>
      <w:r w:rsidR="009527D3">
        <w:rPr>
          <w:rFonts w:ascii="Calibri" w:hAnsi="Calibri" w:cs="Calibri"/>
          <w:color w:val="202124"/>
          <w:shd w:val="clear" w:color="auto" w:fill="FFFFFF"/>
        </w:rPr>
        <w:t xml:space="preserve"> </w:t>
      </w:r>
      <w:bookmarkStart w:id="5" w:name="_Hlk203069152"/>
      <w:r w:rsidR="009527D3">
        <w:rPr>
          <w:rFonts w:ascii="Calibri" w:hAnsi="Calibri" w:cs="Calibri"/>
          <w:color w:val="202124"/>
          <w:shd w:val="clear" w:color="auto" w:fill="FFFFFF"/>
        </w:rPr>
        <w:t xml:space="preserve">Add </w:t>
      </w:r>
      <w:r w:rsidR="002E20D1">
        <w:rPr>
          <w:rFonts w:ascii="Calibri" w:hAnsi="Calibri" w:cs="Calibri"/>
          <w:color w:val="202124"/>
          <w:shd w:val="clear" w:color="auto" w:fill="FFFFFF"/>
        </w:rPr>
        <w:t xml:space="preserve">50 µL of 10% Triton X-100 to 50 mL of 1x PBS to make a 0.1% PBS-T solution. </w:t>
      </w:r>
      <w:r w:rsidR="00CF73E9">
        <w:rPr>
          <w:rFonts w:ascii="Calibri" w:hAnsi="Calibri" w:cs="Calibri"/>
          <w:color w:val="202124"/>
          <w:shd w:val="clear" w:color="auto" w:fill="FFFFFF"/>
        </w:rPr>
        <w:t xml:space="preserve"> </w:t>
      </w:r>
      <w:bookmarkEnd w:id="5"/>
      <w:r w:rsidR="002E20D1">
        <w:rPr>
          <w:rFonts w:ascii="Calibri" w:hAnsi="Calibri" w:cs="Calibri"/>
          <w:color w:val="202124"/>
          <w:shd w:val="clear" w:color="auto" w:fill="FFFFFF"/>
        </w:rPr>
        <w:t>Add 25 µL of 10% Triton X-100 to 50 mL of 1x PBS to make a 0.</w:t>
      </w:r>
      <w:r w:rsidR="00596BBB">
        <w:rPr>
          <w:rFonts w:ascii="Calibri" w:hAnsi="Calibri" w:cs="Calibri"/>
          <w:color w:val="202124"/>
          <w:shd w:val="clear" w:color="auto" w:fill="FFFFFF"/>
        </w:rPr>
        <w:t>05</w:t>
      </w:r>
      <w:r w:rsidR="002E20D1">
        <w:rPr>
          <w:rFonts w:ascii="Calibri" w:hAnsi="Calibri" w:cs="Calibri"/>
          <w:color w:val="202124"/>
          <w:shd w:val="clear" w:color="auto" w:fill="FFFFFF"/>
        </w:rPr>
        <w:t xml:space="preserve">% PBS-T solution.  </w:t>
      </w:r>
    </w:p>
    <w:p w14:paraId="66A96F07" w14:textId="77777777" w:rsidR="00394110" w:rsidRDefault="00394110" w:rsidP="00631924">
      <w:pPr>
        <w:pStyle w:val="ListParagraph"/>
        <w:spacing w:after="0" w:line="240" w:lineRule="auto"/>
        <w:ind w:left="420"/>
        <w:jc w:val="both"/>
        <w:rPr>
          <w:rFonts w:ascii="Calibri" w:hAnsi="Calibri" w:cs="Calibri"/>
          <w:color w:val="202124"/>
          <w:shd w:val="clear" w:color="auto" w:fill="FFFFFF"/>
        </w:rPr>
      </w:pPr>
    </w:p>
    <w:p w14:paraId="37C3E965" w14:textId="2225B8A2" w:rsidR="005F644E" w:rsidRDefault="005F644E" w:rsidP="00631924">
      <w:pPr>
        <w:pStyle w:val="ListParagraph"/>
        <w:numPr>
          <w:ilvl w:val="1"/>
          <w:numId w:val="2"/>
        </w:numPr>
        <w:spacing w:after="0" w:line="240" w:lineRule="auto"/>
        <w:jc w:val="both"/>
        <w:rPr>
          <w:rFonts w:ascii="Calibri" w:hAnsi="Calibri" w:cs="Calibri"/>
          <w:color w:val="202124"/>
          <w:shd w:val="clear" w:color="auto" w:fill="FFFFFF"/>
        </w:rPr>
      </w:pPr>
      <w:r w:rsidRPr="002E6A18">
        <w:rPr>
          <w:rFonts w:ascii="Calibri" w:hAnsi="Calibri" w:cs="Calibri"/>
          <w:color w:val="202124"/>
          <w:u w:val="single"/>
          <w:shd w:val="clear" w:color="auto" w:fill="FFFFFF"/>
        </w:rPr>
        <w:t>8% PFA stock solution</w:t>
      </w:r>
      <w:r w:rsidR="00077720">
        <w:rPr>
          <w:rFonts w:ascii="Calibri" w:hAnsi="Calibri" w:cs="Calibri"/>
          <w:color w:val="202124"/>
          <w:u w:val="single"/>
          <w:shd w:val="clear" w:color="auto" w:fill="FFFFFF"/>
        </w:rPr>
        <w:t xml:space="preserve">: </w:t>
      </w:r>
      <w:r w:rsidR="002E6A18">
        <w:rPr>
          <w:rFonts w:ascii="Calibri" w:hAnsi="Calibri" w:cs="Calibri"/>
          <w:color w:val="202124"/>
          <w:shd w:val="clear" w:color="auto" w:fill="FFFFFF"/>
        </w:rPr>
        <w:t xml:space="preserve">Heat 180 mL of water to 60 °C. Add a stir bar and 10 g PFA. Transfer to a fume hood and maintain at 60 °C on a hot plate with stirring. Add 1-2 drops of 2 N NaOH. Solution should clear as the PFA dissolves into solution. Add 25 mL of 10x PBS. Adjust pH to 7.3 (between 7.2-7.4). Bring volume to 250 </w:t>
      </w:r>
      <w:proofErr w:type="spellStart"/>
      <w:r w:rsidR="002E6A18">
        <w:rPr>
          <w:rFonts w:ascii="Calibri" w:hAnsi="Calibri" w:cs="Calibri"/>
          <w:color w:val="202124"/>
          <w:shd w:val="clear" w:color="auto" w:fill="FFFFFF"/>
        </w:rPr>
        <w:t>mL.</w:t>
      </w:r>
      <w:proofErr w:type="spellEnd"/>
      <w:r w:rsidR="002E6A18">
        <w:rPr>
          <w:rFonts w:ascii="Calibri" w:hAnsi="Calibri" w:cs="Calibri"/>
          <w:color w:val="202124"/>
          <w:shd w:val="clear" w:color="auto" w:fill="FFFFFF"/>
        </w:rPr>
        <w:t xml:space="preserve"> Cool to room temperature, filter sterilize, and freeze at -20 °C in 10 mL aliquots.</w:t>
      </w:r>
    </w:p>
    <w:p w14:paraId="07217C41" w14:textId="77777777" w:rsidR="002E6A18" w:rsidRPr="002E6A18" w:rsidRDefault="002E6A18" w:rsidP="00631924">
      <w:pPr>
        <w:pStyle w:val="ListParagraph"/>
        <w:jc w:val="both"/>
        <w:rPr>
          <w:rFonts w:ascii="Calibri" w:hAnsi="Calibri" w:cs="Calibri"/>
          <w:color w:val="202124"/>
          <w:shd w:val="clear" w:color="auto" w:fill="FFFFFF"/>
        </w:rPr>
      </w:pPr>
    </w:p>
    <w:p w14:paraId="64896CD8" w14:textId="66DCFDE2" w:rsidR="002E6A18" w:rsidRDefault="002E6A18" w:rsidP="00631924">
      <w:pPr>
        <w:pStyle w:val="ListParagraph"/>
        <w:numPr>
          <w:ilvl w:val="1"/>
          <w:numId w:val="2"/>
        </w:numPr>
        <w:spacing w:after="0" w:line="240" w:lineRule="auto"/>
        <w:jc w:val="both"/>
        <w:rPr>
          <w:rFonts w:ascii="Calibri" w:hAnsi="Calibri" w:cs="Calibri"/>
          <w:color w:val="202124"/>
          <w:shd w:val="clear" w:color="auto" w:fill="FFFFFF"/>
        </w:rPr>
      </w:pPr>
      <w:r>
        <w:rPr>
          <w:rFonts w:ascii="Calibri" w:hAnsi="Calibri" w:cs="Calibri"/>
          <w:color w:val="202124"/>
          <w:u w:val="single"/>
          <w:shd w:val="clear" w:color="auto" w:fill="FFFFFF"/>
        </w:rPr>
        <w:t>4</w:t>
      </w:r>
      <w:r w:rsidRPr="002E6A18">
        <w:rPr>
          <w:rFonts w:ascii="Calibri" w:hAnsi="Calibri" w:cs="Calibri"/>
          <w:color w:val="202124"/>
          <w:u w:val="single"/>
          <w:shd w:val="clear" w:color="auto" w:fill="FFFFFF"/>
        </w:rPr>
        <w:t>% PFA</w:t>
      </w:r>
      <w:r w:rsidR="00077720">
        <w:rPr>
          <w:rFonts w:ascii="Calibri" w:hAnsi="Calibri" w:cs="Calibri"/>
          <w:color w:val="202124"/>
          <w:u w:val="single"/>
          <w:shd w:val="clear" w:color="auto" w:fill="FFFFFF"/>
        </w:rPr>
        <w:t>:</w:t>
      </w:r>
      <w:r>
        <w:rPr>
          <w:rFonts w:ascii="Calibri" w:hAnsi="Calibri" w:cs="Calibri"/>
          <w:color w:val="202124"/>
          <w:shd w:val="clear" w:color="auto" w:fill="FFFFFF"/>
        </w:rPr>
        <w:t xml:space="preserve"> Thaw an aliquot of 8% PFA</w:t>
      </w:r>
      <w:r w:rsidR="00EA4BF5">
        <w:rPr>
          <w:rFonts w:ascii="Calibri" w:hAnsi="Calibri" w:cs="Calibri"/>
          <w:color w:val="202124"/>
          <w:shd w:val="clear" w:color="auto" w:fill="FFFFFF"/>
        </w:rPr>
        <w:t>. PFA may initially separate but will redissolve overnight. Dilute 8% PFA 1:1 in 1x PBS to make 4% PFA in PBS.</w:t>
      </w:r>
      <w:r w:rsidR="00802ED7">
        <w:rPr>
          <w:rFonts w:ascii="Calibri" w:hAnsi="Calibri" w:cs="Calibri"/>
          <w:color w:val="202124"/>
          <w:shd w:val="clear" w:color="auto" w:fill="FFFFFF"/>
        </w:rPr>
        <w:t xml:space="preserve"> Dilute 8% PFA 1:1 in relaxing solution to make 4% PFA in RS.</w:t>
      </w:r>
    </w:p>
    <w:p w14:paraId="3262065A" w14:textId="77777777" w:rsidR="00EA4BF5" w:rsidRPr="00EA4BF5" w:rsidRDefault="00EA4BF5" w:rsidP="00631924">
      <w:pPr>
        <w:pStyle w:val="ListParagraph"/>
        <w:jc w:val="both"/>
        <w:rPr>
          <w:rFonts w:ascii="Calibri" w:hAnsi="Calibri" w:cs="Calibri"/>
          <w:color w:val="202124"/>
          <w:shd w:val="clear" w:color="auto" w:fill="FFFFFF"/>
        </w:rPr>
      </w:pPr>
    </w:p>
    <w:p w14:paraId="62194DD7" w14:textId="52ACD75C" w:rsidR="006D3669" w:rsidRDefault="006F7619" w:rsidP="00631924">
      <w:pPr>
        <w:pStyle w:val="ListParagraph"/>
        <w:numPr>
          <w:ilvl w:val="1"/>
          <w:numId w:val="2"/>
        </w:numPr>
        <w:spacing w:after="0" w:line="240" w:lineRule="auto"/>
        <w:jc w:val="both"/>
        <w:rPr>
          <w:rFonts w:ascii="Calibri" w:hAnsi="Calibri" w:cs="Calibri"/>
          <w:color w:val="202124"/>
          <w:shd w:val="clear" w:color="auto" w:fill="FFFFFF"/>
        </w:rPr>
      </w:pPr>
      <w:r>
        <w:rPr>
          <w:rFonts w:ascii="Calibri" w:hAnsi="Calibri" w:cs="Calibri"/>
          <w:color w:val="202124"/>
          <w:u w:val="single"/>
          <w:shd w:val="clear" w:color="auto" w:fill="FFFFFF"/>
        </w:rPr>
        <w:t xml:space="preserve">0.1% </w:t>
      </w:r>
      <w:r w:rsidR="002956F3" w:rsidRPr="00EA4BF5">
        <w:rPr>
          <w:rFonts w:ascii="Calibri" w:hAnsi="Calibri" w:cs="Calibri"/>
          <w:color w:val="202124"/>
          <w:u w:val="single"/>
          <w:shd w:val="clear" w:color="auto" w:fill="FFFFFF"/>
        </w:rPr>
        <w:t>Relaxing solution</w:t>
      </w:r>
      <w:r w:rsidR="009B2DE7">
        <w:rPr>
          <w:rFonts w:ascii="Calibri" w:hAnsi="Calibri" w:cs="Calibri"/>
          <w:color w:val="202124"/>
          <w:u w:val="single"/>
          <w:shd w:val="clear" w:color="auto" w:fill="FFFFFF"/>
        </w:rPr>
        <w:t xml:space="preserve"> (RS)</w:t>
      </w:r>
      <w:r w:rsidR="00B8174C">
        <w:rPr>
          <w:rFonts w:ascii="Calibri" w:hAnsi="Calibri" w:cs="Calibri"/>
          <w:color w:val="202124"/>
          <w:u w:val="single"/>
          <w:shd w:val="clear" w:color="auto" w:fill="FFFFFF"/>
        </w:rPr>
        <w:fldChar w:fldCharType="begin"/>
      </w:r>
      <w:r w:rsidR="00B8174C">
        <w:rPr>
          <w:rFonts w:ascii="Calibri" w:hAnsi="Calibri" w:cs="Calibri"/>
          <w:color w:val="202124"/>
          <w:u w:val="single"/>
          <w:shd w:val="clear" w:color="auto" w:fill="FFFFFF"/>
        </w:rPr>
        <w:instrText xml:space="preserve"> ADDIN ZOTERO_ITEM CSL_CITATION {"citationID":"5vVLcOPQ","properties":{"formattedCitation":"\\super 2\\nosupersub{}","plainCitation":"2","noteIndex":0},"citationItems":[{"id":3020,"uris":["http://zotero.org/users/10474248/items/Y85C7388"],"itemData":{"id":3020,"type":"article-journal","abstract":"Flying insects oscillate their wings at high frequencies of up to 1,000 Hz and produce large mechanical forces of 80 W per kilogram of muscle. They utilize a pair of perpendicularly oriented indirect flight muscles that contain fibrillar, stretch-activated myofibres. In contrast, all other, more slowly contracting, insect body muscles have a tubular muscle morphology. Here we identify the transcription factor Spalt major (Salm) as a master regulator of fibrillar flight muscle fate in Drosophila. salm is necessary and sufficient to induce fibrillar muscle fate. salm switches the entire transcriptional program from tubular to fibrillar fate by regulating the expression and splicing of key sarcomeric components specific to each muscle type. Spalt function is conserved in insects evolutionarily separated by 280 million years. We propose that Spalt proteins switch myofibres from tubular to fibrillar fate during development, a function potentially conserved in the vertebrate heart--a stretch-activated muscle sharing features with insect flight muscle.","container-title":"Nature","DOI":"10.1038/nature10559","ISSN":"1476-4687","issue":"7373","journalAbbreviation":"Nature","language":"eng","note":"PMID: 22094701","page":"406-409","source":"PubMed","title":"Spalt mediates an evolutionarily conserved switch to fibrillar muscle fate in insects","volume":"479","author":[{"family":"Schönbauer","given":"Cornelia"},{"family":"Distler","given":"Jutta"},{"family":"Jährling","given":"Nina"},{"family":"Radolf","given":"Martin"},{"family":"Dodt","given":"Hans-Ulrich"},{"family":"Frasch","given":"Manfred"},{"family":"Schnorrer","given":"Frank"}],"issued":{"date-parts":[["2011",11,16]]}}}],"schema":"https://github.com/citation-style-language/schema/raw/master/csl-citation.json"} </w:instrText>
      </w:r>
      <w:r w:rsidR="00B8174C">
        <w:rPr>
          <w:rFonts w:ascii="Calibri" w:hAnsi="Calibri" w:cs="Calibri"/>
          <w:color w:val="202124"/>
          <w:u w:val="single"/>
          <w:shd w:val="clear" w:color="auto" w:fill="FFFFFF"/>
        </w:rPr>
        <w:fldChar w:fldCharType="separate"/>
      </w:r>
      <w:r w:rsidR="00B8174C" w:rsidRPr="00B8174C">
        <w:rPr>
          <w:rFonts w:ascii="Calibri" w:hAnsi="Calibri" w:cs="Calibri"/>
          <w:color w:val="000000"/>
          <w:vertAlign w:val="superscript"/>
        </w:rPr>
        <w:t>2</w:t>
      </w:r>
      <w:r w:rsidR="00B8174C">
        <w:rPr>
          <w:rFonts w:ascii="Calibri" w:hAnsi="Calibri" w:cs="Calibri"/>
          <w:color w:val="202124"/>
          <w:u w:val="single"/>
          <w:shd w:val="clear" w:color="auto" w:fill="FFFFFF"/>
        </w:rPr>
        <w:fldChar w:fldCharType="end"/>
      </w:r>
      <w:r w:rsidR="00077720">
        <w:rPr>
          <w:rFonts w:ascii="Calibri" w:hAnsi="Calibri" w:cs="Calibri"/>
          <w:color w:val="202124"/>
          <w:shd w:val="clear" w:color="auto" w:fill="FFFFFF"/>
        </w:rPr>
        <w:t>:</w:t>
      </w:r>
      <w:r w:rsidR="006D3669">
        <w:rPr>
          <w:rFonts w:ascii="Calibri" w:hAnsi="Calibri" w:cs="Calibri"/>
          <w:color w:val="202124"/>
          <w:shd w:val="clear" w:color="auto" w:fill="FFFFFF"/>
        </w:rPr>
        <w:t xml:space="preserve"> Make stock solutions of </w:t>
      </w:r>
      <w:r w:rsidR="000B3B31">
        <w:rPr>
          <w:rFonts w:ascii="Calibri" w:hAnsi="Calibri" w:cs="Calibri"/>
          <w:color w:val="202124"/>
          <w:shd w:val="clear" w:color="auto" w:fill="FFFFFF"/>
        </w:rPr>
        <w:t xml:space="preserve">100 mM </w:t>
      </w:r>
      <w:r w:rsidR="000B3B31" w:rsidRPr="000B3B31">
        <w:rPr>
          <w:rFonts w:ascii="Calibri" w:hAnsi="Calibri" w:cs="Calibri"/>
        </w:rPr>
        <w:t>Na</w:t>
      </w:r>
      <w:r w:rsidR="00B34239" w:rsidRPr="000B3B31">
        <w:rPr>
          <w:rFonts w:ascii="Calibri" w:hAnsi="Calibri" w:cs="Calibri"/>
          <w:vertAlign w:val="subscript"/>
        </w:rPr>
        <w:t>2</w:t>
      </w:r>
      <w:r w:rsidR="000B3B31" w:rsidRPr="000B3B31">
        <w:rPr>
          <w:rFonts w:ascii="Calibri" w:hAnsi="Calibri" w:cs="Calibri"/>
        </w:rPr>
        <w:t>HPO</w:t>
      </w:r>
      <w:r w:rsidR="000B3B31" w:rsidRPr="000B3B31">
        <w:rPr>
          <w:rFonts w:ascii="Calibri" w:hAnsi="Calibri" w:cs="Calibri"/>
          <w:vertAlign w:val="subscript"/>
        </w:rPr>
        <w:t>4</w:t>
      </w:r>
      <w:r w:rsidR="00B34239">
        <w:rPr>
          <w:rFonts w:ascii="Calibri" w:hAnsi="Calibri" w:cs="Calibri"/>
        </w:rPr>
        <w:t xml:space="preserve"> (pH 7.0),</w:t>
      </w:r>
      <w:r w:rsidR="000B3B31">
        <w:rPr>
          <w:rFonts w:ascii="Calibri" w:hAnsi="Calibri" w:cs="Calibri"/>
        </w:rPr>
        <w:t xml:space="preserve"> </w:t>
      </w:r>
      <w:r w:rsidR="006D3669" w:rsidRPr="000B3B31">
        <w:rPr>
          <w:rFonts w:ascii="Calibri" w:hAnsi="Calibri" w:cs="Calibri"/>
          <w:color w:val="202124"/>
          <w:shd w:val="clear" w:color="auto" w:fill="FFFFFF"/>
        </w:rPr>
        <w:t>50</w:t>
      </w:r>
      <w:r w:rsidR="006D3669">
        <w:rPr>
          <w:rFonts w:ascii="Calibri" w:hAnsi="Calibri" w:cs="Calibri"/>
          <w:color w:val="202124"/>
          <w:shd w:val="clear" w:color="auto" w:fill="FFFFFF"/>
        </w:rPr>
        <w:t xml:space="preserve"> mM MgCl</w:t>
      </w:r>
      <w:r w:rsidR="006D3669">
        <w:rPr>
          <w:rFonts w:ascii="Calibri" w:hAnsi="Calibri" w:cs="Calibri"/>
          <w:color w:val="202124"/>
          <w:shd w:val="clear" w:color="auto" w:fill="FFFFFF"/>
          <w:vertAlign w:val="subscript"/>
        </w:rPr>
        <w:t>2</w:t>
      </w:r>
      <w:r w:rsidR="006D3669">
        <w:rPr>
          <w:rFonts w:ascii="Calibri" w:hAnsi="Calibri" w:cs="Calibri"/>
          <w:color w:val="202124"/>
          <w:shd w:val="clear" w:color="auto" w:fill="FFFFFF"/>
        </w:rPr>
        <w:t xml:space="preserve">, </w:t>
      </w:r>
      <w:r w:rsidR="002E6A18">
        <w:rPr>
          <w:rFonts w:ascii="Calibri" w:hAnsi="Calibri" w:cs="Calibri"/>
          <w:color w:val="202124"/>
          <w:shd w:val="clear" w:color="auto" w:fill="FFFFFF"/>
        </w:rPr>
        <w:t xml:space="preserve">0.5 M EGTA (pH 8.0), </w:t>
      </w:r>
      <w:r w:rsidR="003835F9">
        <w:rPr>
          <w:rFonts w:ascii="Calibri" w:hAnsi="Calibri" w:cs="Calibri"/>
          <w:color w:val="202124"/>
          <w:shd w:val="clear" w:color="auto" w:fill="FFFFFF"/>
        </w:rPr>
        <w:t xml:space="preserve">1% Triton X-100, </w:t>
      </w:r>
      <w:r w:rsidR="007B2BBF">
        <w:rPr>
          <w:rFonts w:ascii="Calibri" w:hAnsi="Calibri" w:cs="Calibri"/>
          <w:color w:val="202124"/>
          <w:shd w:val="clear" w:color="auto" w:fill="FFFFFF"/>
        </w:rPr>
        <w:t>and</w:t>
      </w:r>
      <w:r w:rsidR="00B319F2">
        <w:rPr>
          <w:rFonts w:ascii="Calibri" w:hAnsi="Calibri" w:cs="Calibri"/>
          <w:color w:val="202124"/>
          <w:shd w:val="clear" w:color="auto" w:fill="FFFFFF"/>
        </w:rPr>
        <w:t xml:space="preserve"> </w:t>
      </w:r>
      <w:r w:rsidR="00B34239">
        <w:rPr>
          <w:rFonts w:ascii="Calibri" w:hAnsi="Calibri" w:cs="Calibri"/>
          <w:color w:val="202124"/>
          <w:shd w:val="clear" w:color="auto" w:fill="FFFFFF"/>
        </w:rPr>
        <w:t>0.5</w:t>
      </w:r>
      <w:r w:rsidR="00B319F2">
        <w:rPr>
          <w:rFonts w:ascii="Calibri" w:hAnsi="Calibri" w:cs="Calibri"/>
          <w:color w:val="202124"/>
          <w:shd w:val="clear" w:color="auto" w:fill="FFFFFF"/>
        </w:rPr>
        <w:t xml:space="preserve"> M ATP</w:t>
      </w:r>
      <w:r w:rsidR="007B2BBF">
        <w:rPr>
          <w:rFonts w:ascii="Calibri" w:hAnsi="Calibri" w:cs="Calibri"/>
          <w:shd w:val="clear" w:color="auto" w:fill="FFFFFF"/>
        </w:rPr>
        <w:t xml:space="preserve">. </w:t>
      </w:r>
      <w:r w:rsidR="000B3B31">
        <w:rPr>
          <w:rFonts w:ascii="Calibri" w:hAnsi="Calibri" w:cs="Calibri"/>
          <w:shd w:val="clear" w:color="auto" w:fill="FFFFFF"/>
        </w:rPr>
        <w:t xml:space="preserve">Maintain stock solutions as separate solutions. </w:t>
      </w:r>
      <w:r w:rsidR="00432A3F">
        <w:rPr>
          <w:rFonts w:ascii="Calibri" w:hAnsi="Calibri" w:cs="Calibri"/>
        </w:rPr>
        <w:t xml:space="preserve">Relaxing solution is made fresh on the day of use by </w:t>
      </w:r>
      <w:r w:rsidR="000B3B31">
        <w:rPr>
          <w:rFonts w:ascii="Calibri" w:hAnsi="Calibri" w:cs="Calibri"/>
        </w:rPr>
        <w:t>using</w:t>
      </w:r>
      <w:r w:rsidR="00432A3F">
        <w:rPr>
          <w:rFonts w:ascii="Calibri" w:hAnsi="Calibri" w:cs="Calibri"/>
        </w:rPr>
        <w:t xml:space="preserve"> stock solutions to </w:t>
      </w:r>
      <w:r w:rsidR="000B3B31">
        <w:rPr>
          <w:rFonts w:ascii="Calibri" w:hAnsi="Calibri" w:cs="Calibri"/>
        </w:rPr>
        <w:t xml:space="preserve">make </w:t>
      </w:r>
      <w:r w:rsidR="00432A3F">
        <w:rPr>
          <w:rFonts w:ascii="Calibri" w:hAnsi="Calibri" w:cs="Calibri"/>
        </w:rPr>
        <w:t xml:space="preserve">a final buffer </w:t>
      </w:r>
      <w:r w:rsidR="000B3B31">
        <w:rPr>
          <w:rFonts w:ascii="Calibri" w:hAnsi="Calibri" w:cs="Calibri"/>
        </w:rPr>
        <w:t xml:space="preserve">with a </w:t>
      </w:r>
      <w:r w:rsidR="00432A3F">
        <w:rPr>
          <w:rFonts w:ascii="Calibri" w:hAnsi="Calibri" w:cs="Calibri"/>
        </w:rPr>
        <w:t xml:space="preserve">concentration of </w:t>
      </w:r>
      <w:r w:rsidR="00EA6B9E" w:rsidRPr="00EA6B9E">
        <w:rPr>
          <w:rFonts w:ascii="Calibri" w:hAnsi="Calibri" w:cs="Calibri"/>
        </w:rPr>
        <w:t>20</w:t>
      </w:r>
      <w:r w:rsidR="00432A3F">
        <w:rPr>
          <w:rFonts w:ascii="Calibri" w:hAnsi="Calibri" w:cs="Calibri"/>
        </w:rPr>
        <w:t xml:space="preserve"> </w:t>
      </w:r>
      <w:r w:rsidR="00EA6B9E" w:rsidRPr="00EA6B9E">
        <w:rPr>
          <w:rFonts w:ascii="Calibri" w:hAnsi="Calibri" w:cs="Calibri"/>
        </w:rPr>
        <w:t>mM Na</w:t>
      </w:r>
      <w:r w:rsidR="00B34239" w:rsidRPr="00EA6B9E">
        <w:rPr>
          <w:rFonts w:ascii="Calibri" w:hAnsi="Calibri" w:cs="Calibri"/>
          <w:vertAlign w:val="subscript"/>
        </w:rPr>
        <w:t>2</w:t>
      </w:r>
      <w:r w:rsidR="00EA6B9E" w:rsidRPr="00EA6B9E">
        <w:rPr>
          <w:rFonts w:ascii="Calibri" w:hAnsi="Calibri" w:cs="Calibri"/>
        </w:rPr>
        <w:t>HPO</w:t>
      </w:r>
      <w:r w:rsidR="00EA6B9E" w:rsidRPr="00EA6B9E">
        <w:rPr>
          <w:rFonts w:ascii="Calibri" w:hAnsi="Calibri" w:cs="Calibri"/>
          <w:vertAlign w:val="subscript"/>
        </w:rPr>
        <w:t>4</w:t>
      </w:r>
      <w:r w:rsidR="00EA6B9E" w:rsidRPr="00EA6B9E">
        <w:rPr>
          <w:rFonts w:ascii="Calibri" w:hAnsi="Calibri" w:cs="Calibri"/>
        </w:rPr>
        <w:t>, 8</w:t>
      </w:r>
      <w:r w:rsidR="00432A3F">
        <w:rPr>
          <w:rFonts w:ascii="Calibri" w:hAnsi="Calibri" w:cs="Calibri"/>
        </w:rPr>
        <w:t xml:space="preserve"> </w:t>
      </w:r>
      <w:r w:rsidR="00EA6B9E" w:rsidRPr="00EA6B9E">
        <w:rPr>
          <w:rFonts w:ascii="Calibri" w:hAnsi="Calibri" w:cs="Calibri"/>
        </w:rPr>
        <w:t>mM MgCl</w:t>
      </w:r>
      <w:r w:rsidR="00EA6B9E" w:rsidRPr="00EA6B9E">
        <w:rPr>
          <w:rFonts w:ascii="Calibri" w:hAnsi="Calibri" w:cs="Calibri"/>
          <w:vertAlign w:val="subscript"/>
        </w:rPr>
        <w:t>2</w:t>
      </w:r>
      <w:r w:rsidR="00EA6B9E" w:rsidRPr="00EA6B9E">
        <w:rPr>
          <w:rFonts w:ascii="Calibri" w:hAnsi="Calibri" w:cs="Calibri"/>
        </w:rPr>
        <w:t xml:space="preserve">, </w:t>
      </w:r>
      <w:r w:rsidR="00B319F2" w:rsidRPr="00EA6B9E">
        <w:rPr>
          <w:rFonts w:ascii="Calibri" w:hAnsi="Calibri" w:cs="Calibri"/>
        </w:rPr>
        <w:t>5</w:t>
      </w:r>
      <w:r w:rsidR="00B319F2">
        <w:rPr>
          <w:rFonts w:ascii="Calibri" w:hAnsi="Calibri" w:cs="Calibri"/>
        </w:rPr>
        <w:t xml:space="preserve"> </w:t>
      </w:r>
      <w:r w:rsidR="00B319F2" w:rsidRPr="00EA6B9E">
        <w:rPr>
          <w:rFonts w:ascii="Calibri" w:hAnsi="Calibri" w:cs="Calibri"/>
        </w:rPr>
        <w:t>mM EGTA</w:t>
      </w:r>
      <w:r w:rsidR="00B319F2">
        <w:rPr>
          <w:rFonts w:ascii="Calibri" w:hAnsi="Calibri" w:cs="Calibri"/>
        </w:rPr>
        <w:t>,</w:t>
      </w:r>
      <w:r w:rsidR="00B319F2" w:rsidRPr="00EA6B9E">
        <w:rPr>
          <w:rFonts w:ascii="Calibri" w:hAnsi="Calibri" w:cs="Calibri"/>
        </w:rPr>
        <w:t xml:space="preserve"> </w:t>
      </w:r>
      <w:r w:rsidR="003835F9">
        <w:rPr>
          <w:rFonts w:ascii="Calibri" w:hAnsi="Calibri" w:cs="Calibri"/>
        </w:rPr>
        <w:t xml:space="preserve">0.1% Triton X-100, </w:t>
      </w:r>
      <w:r w:rsidR="00F33563">
        <w:rPr>
          <w:rFonts w:ascii="Calibri" w:hAnsi="Calibri" w:cs="Calibri"/>
        </w:rPr>
        <w:t xml:space="preserve">and </w:t>
      </w:r>
      <w:r w:rsidR="00EA6B9E" w:rsidRPr="00EA6B9E">
        <w:rPr>
          <w:rFonts w:ascii="Calibri" w:hAnsi="Calibri" w:cs="Calibri"/>
        </w:rPr>
        <w:t>5</w:t>
      </w:r>
      <w:r w:rsidR="00432A3F">
        <w:rPr>
          <w:rFonts w:ascii="Calibri" w:hAnsi="Calibri" w:cs="Calibri"/>
        </w:rPr>
        <w:t xml:space="preserve"> </w:t>
      </w:r>
      <w:r w:rsidR="00EA6B9E" w:rsidRPr="00EA6B9E">
        <w:rPr>
          <w:rFonts w:ascii="Calibri" w:hAnsi="Calibri" w:cs="Calibri"/>
        </w:rPr>
        <w:t>mM ATP</w:t>
      </w:r>
      <w:r w:rsidR="00432A3F">
        <w:rPr>
          <w:rFonts w:ascii="Calibri" w:hAnsi="Calibri" w:cs="Calibri"/>
        </w:rPr>
        <w:t>.</w:t>
      </w:r>
      <w:r w:rsidR="00B34239">
        <w:rPr>
          <w:rFonts w:ascii="Calibri" w:hAnsi="Calibri" w:cs="Calibri"/>
        </w:rPr>
        <w:t xml:space="preserve"> </w:t>
      </w:r>
      <w:r w:rsidR="00552BA6">
        <w:rPr>
          <w:rFonts w:ascii="Calibri" w:hAnsi="Calibri" w:cs="Calibri"/>
        </w:rPr>
        <w:t xml:space="preserve">For </w:t>
      </w:r>
      <w:r w:rsidR="002065A2">
        <w:rPr>
          <w:rFonts w:ascii="Calibri" w:hAnsi="Calibri" w:cs="Calibri"/>
        </w:rPr>
        <w:t>2.</w:t>
      </w:r>
      <w:r w:rsidR="00552BA6">
        <w:rPr>
          <w:rFonts w:ascii="Calibri" w:hAnsi="Calibri" w:cs="Calibri"/>
        </w:rPr>
        <w:t>5 mL RS, from the stock solution add 1 mL</w:t>
      </w:r>
      <w:r w:rsidR="00552BA6" w:rsidRPr="00EA6B9E">
        <w:rPr>
          <w:rFonts w:ascii="Calibri" w:hAnsi="Calibri" w:cs="Calibri"/>
        </w:rPr>
        <w:t xml:space="preserve"> Na</w:t>
      </w:r>
      <w:r w:rsidR="00552BA6" w:rsidRPr="00EA6B9E">
        <w:rPr>
          <w:rFonts w:ascii="Calibri" w:hAnsi="Calibri" w:cs="Calibri"/>
          <w:vertAlign w:val="subscript"/>
        </w:rPr>
        <w:t>2</w:t>
      </w:r>
      <w:r w:rsidR="00552BA6" w:rsidRPr="00EA6B9E">
        <w:rPr>
          <w:rFonts w:ascii="Calibri" w:hAnsi="Calibri" w:cs="Calibri"/>
        </w:rPr>
        <w:t>HPO</w:t>
      </w:r>
      <w:r w:rsidR="00552BA6" w:rsidRPr="00EA6B9E">
        <w:rPr>
          <w:rFonts w:ascii="Calibri" w:hAnsi="Calibri" w:cs="Calibri"/>
          <w:vertAlign w:val="subscript"/>
        </w:rPr>
        <w:t>4</w:t>
      </w:r>
      <w:r w:rsidR="00552BA6" w:rsidRPr="00EA6B9E">
        <w:rPr>
          <w:rFonts w:ascii="Calibri" w:hAnsi="Calibri" w:cs="Calibri"/>
        </w:rPr>
        <w:t xml:space="preserve">, </w:t>
      </w:r>
      <w:bookmarkStart w:id="6" w:name="_Hlk203070145"/>
      <w:r w:rsidR="00552BA6">
        <w:rPr>
          <w:rFonts w:ascii="Calibri" w:hAnsi="Calibri" w:cs="Calibri"/>
        </w:rPr>
        <w:t>800 µL</w:t>
      </w:r>
      <w:r w:rsidR="00552BA6" w:rsidRPr="00EA6B9E">
        <w:rPr>
          <w:rFonts w:ascii="Calibri" w:hAnsi="Calibri" w:cs="Calibri"/>
        </w:rPr>
        <w:t xml:space="preserve"> </w:t>
      </w:r>
      <w:bookmarkEnd w:id="6"/>
      <w:r w:rsidR="00552BA6" w:rsidRPr="00EA6B9E">
        <w:rPr>
          <w:rFonts w:ascii="Calibri" w:hAnsi="Calibri" w:cs="Calibri"/>
        </w:rPr>
        <w:t>MgCl</w:t>
      </w:r>
      <w:r w:rsidR="00552BA6" w:rsidRPr="00EA6B9E">
        <w:rPr>
          <w:rFonts w:ascii="Calibri" w:hAnsi="Calibri" w:cs="Calibri"/>
          <w:vertAlign w:val="subscript"/>
        </w:rPr>
        <w:t>2</w:t>
      </w:r>
      <w:r w:rsidR="00552BA6" w:rsidRPr="00EA6B9E">
        <w:rPr>
          <w:rFonts w:ascii="Calibri" w:hAnsi="Calibri" w:cs="Calibri"/>
        </w:rPr>
        <w:t xml:space="preserve">, </w:t>
      </w:r>
      <w:r w:rsidR="00552BA6">
        <w:rPr>
          <w:rFonts w:ascii="Calibri" w:hAnsi="Calibri" w:cs="Calibri"/>
        </w:rPr>
        <w:t>50 µL</w:t>
      </w:r>
      <w:r w:rsidR="00552BA6" w:rsidRPr="00EA6B9E">
        <w:rPr>
          <w:rFonts w:ascii="Calibri" w:hAnsi="Calibri" w:cs="Calibri"/>
        </w:rPr>
        <w:t xml:space="preserve"> EGTA</w:t>
      </w:r>
      <w:r w:rsidR="00552BA6">
        <w:rPr>
          <w:rFonts w:ascii="Calibri" w:hAnsi="Calibri" w:cs="Calibri"/>
        </w:rPr>
        <w:t>,</w:t>
      </w:r>
      <w:r w:rsidR="00552BA6" w:rsidRPr="00EA6B9E">
        <w:rPr>
          <w:rFonts w:ascii="Calibri" w:hAnsi="Calibri" w:cs="Calibri"/>
        </w:rPr>
        <w:t xml:space="preserve"> </w:t>
      </w:r>
      <w:r w:rsidR="00552BA6">
        <w:rPr>
          <w:rFonts w:ascii="Calibri" w:hAnsi="Calibri" w:cs="Calibri"/>
        </w:rPr>
        <w:t>500 µL</w:t>
      </w:r>
      <w:r w:rsidR="00552BA6" w:rsidRPr="00EA6B9E">
        <w:rPr>
          <w:rFonts w:ascii="Calibri" w:hAnsi="Calibri" w:cs="Calibri"/>
        </w:rPr>
        <w:t xml:space="preserve"> </w:t>
      </w:r>
      <w:r w:rsidR="00552BA6">
        <w:rPr>
          <w:rFonts w:ascii="Calibri" w:hAnsi="Calibri" w:cs="Calibri"/>
        </w:rPr>
        <w:t>Triton X-100, 50 µL</w:t>
      </w:r>
      <w:r w:rsidR="00552BA6" w:rsidRPr="00EA6B9E">
        <w:rPr>
          <w:rFonts w:ascii="Calibri" w:hAnsi="Calibri" w:cs="Calibri"/>
        </w:rPr>
        <w:t xml:space="preserve"> ATP</w:t>
      </w:r>
      <w:r w:rsidR="00552BA6">
        <w:rPr>
          <w:rFonts w:ascii="Calibri" w:hAnsi="Calibri" w:cs="Calibri"/>
        </w:rPr>
        <w:t xml:space="preserve">, and 100 µL of water. </w:t>
      </w:r>
      <w:r w:rsidR="00B34239">
        <w:rPr>
          <w:rFonts w:ascii="Calibri" w:hAnsi="Calibri" w:cs="Calibri"/>
        </w:rPr>
        <w:t xml:space="preserve">For fixation, dilute 8% PFA 1:1 with RS to a final concentration of 4% PFA in RS. </w:t>
      </w:r>
    </w:p>
    <w:p w14:paraId="409B1EFF" w14:textId="7FCC13DB" w:rsidR="005F644E" w:rsidRPr="00EA6B9E" w:rsidRDefault="005F644E" w:rsidP="00631924">
      <w:pPr>
        <w:pStyle w:val="ListParagraph"/>
        <w:spacing w:after="0" w:line="240" w:lineRule="auto"/>
        <w:ind w:left="420"/>
        <w:jc w:val="both"/>
        <w:rPr>
          <w:rFonts w:ascii="Calibri" w:hAnsi="Calibri" w:cs="Calibri"/>
          <w:color w:val="202124"/>
          <w:shd w:val="clear" w:color="auto" w:fill="FFFFFF"/>
        </w:rPr>
      </w:pPr>
    </w:p>
    <w:p w14:paraId="4874242E" w14:textId="6B7BC99C" w:rsidR="00B13164" w:rsidRPr="00802ED7" w:rsidRDefault="006220A5" w:rsidP="00631924">
      <w:pPr>
        <w:pStyle w:val="ListParagraph"/>
        <w:numPr>
          <w:ilvl w:val="1"/>
          <w:numId w:val="2"/>
        </w:numPr>
        <w:spacing w:after="0" w:line="240" w:lineRule="auto"/>
        <w:jc w:val="both"/>
        <w:rPr>
          <w:rFonts w:ascii="Calibri" w:hAnsi="Calibri" w:cs="Calibri"/>
          <w:color w:val="202124"/>
          <w:shd w:val="clear" w:color="auto" w:fill="FFFFFF"/>
        </w:rPr>
      </w:pPr>
      <w:r w:rsidRPr="00EA6B9E">
        <w:rPr>
          <w:rFonts w:ascii="Calibri" w:hAnsi="Calibri" w:cs="Calibri"/>
          <w:color w:val="202124"/>
          <w:u w:val="single"/>
          <w:shd w:val="clear" w:color="auto" w:fill="FFFFFF"/>
        </w:rPr>
        <w:t>Glyox</w:t>
      </w:r>
      <w:r w:rsidR="00E007E1">
        <w:rPr>
          <w:rFonts w:ascii="Calibri" w:hAnsi="Calibri" w:cs="Calibri"/>
          <w:color w:val="202124"/>
          <w:u w:val="single"/>
          <w:shd w:val="clear" w:color="auto" w:fill="FFFFFF"/>
        </w:rPr>
        <w:t>a</w:t>
      </w:r>
      <w:r w:rsidRPr="00EA6B9E">
        <w:rPr>
          <w:rFonts w:ascii="Calibri" w:hAnsi="Calibri" w:cs="Calibri"/>
          <w:color w:val="202124"/>
          <w:u w:val="single"/>
          <w:shd w:val="clear" w:color="auto" w:fill="FFFFFF"/>
        </w:rPr>
        <w:t>l solution</w:t>
      </w:r>
      <w:r w:rsidR="00C9686B">
        <w:rPr>
          <w:rFonts w:ascii="Calibri" w:hAnsi="Calibri" w:cs="Calibri"/>
          <w:color w:val="202124"/>
          <w:u w:val="single"/>
          <w:shd w:val="clear" w:color="auto" w:fill="FFFFFF"/>
        </w:rPr>
        <w:fldChar w:fldCharType="begin"/>
      </w:r>
      <w:r w:rsidR="00C9686B">
        <w:rPr>
          <w:rFonts w:ascii="Calibri" w:hAnsi="Calibri" w:cs="Calibri"/>
          <w:color w:val="202124"/>
          <w:u w:val="single"/>
          <w:shd w:val="clear" w:color="auto" w:fill="FFFFFF"/>
        </w:rPr>
        <w:instrText xml:space="preserve"> ADDIN ZOTERO_ITEM CSL_CITATION {"citationID":"fFia1pjW","properties":{"formattedCitation":"\\super 3\\nosupersub{}","plainCitation":"3","noteIndex":0},"citationItems":[{"id":3022,"uris":["http://zotero.org/users/10474248/items/C5ACZNPC"],"itemData":{"id":3022,"type":"article-journal","abstract":"The gold-standard fixative for immunohistochemistry is 4% formaldehyde; however, it limits antibody access to target molecules that are buried within specialized neuronal components, such as ionotropic receptors at the postsynapse and voltage-gated ion channels at the axon initial segment, often requiring additional antigen-exposing techniques to detect their authentic signals. To solve this problem, we used glyoxal, a two-carbon atom di-aldehyde. We found that glyoxal fixation greatly improved antibody penetration and immunoreactivity, uncovering signals for buried molecules by conventional immunohistochemical procedures at light and electron microscopic levels. It also enhanced immunosignals of most other molecules, which are known to be detectable in formaldehyde-fixed sections. Furthermore, we unearthed several specific primary antibodies that were once judged to be unusable in formaldehyde-fixed tissues, allowing us to successfully localize so far controversial synaptic adhesion molecule Neuroligin 1. Thus, glyoxal is a highly effective fixative for immunostaining, and a side-by-side comparison of glyoxal and formaldehyde fixation is recommended for routine immunostaining in neuroscience research.","container-title":"Science Advances","DOI":"10.1126/sciadv.adf7084","ISSN":"2375-2548","issue":"28","journalAbbreviation":"Sci Adv","language":"eng","note":"PMID: 37450597\nPMCID: PMC10348680","page":"eadf7084","source":"PubMed","title":"Glyoxal fixation: An approach to solve immunohistochemical problem in neuroscience research","title-short":"Glyoxal fixation","volume":"9","author":[{"family":"Konno","given":"Kohtarou"},{"family":"Yamasaki","given":"Miwako"},{"family":"Miyazaki","given":"Taisuke"},{"family":"Watanabe","given":"Masahiko"}],"issued":{"date-parts":[["2023",7,14]]}}}],"schema":"https://github.com/citation-style-language/schema/raw/master/csl-citation.json"} </w:instrText>
      </w:r>
      <w:r w:rsidR="00C9686B">
        <w:rPr>
          <w:rFonts w:ascii="Calibri" w:hAnsi="Calibri" w:cs="Calibri"/>
          <w:color w:val="202124"/>
          <w:u w:val="single"/>
          <w:shd w:val="clear" w:color="auto" w:fill="FFFFFF"/>
        </w:rPr>
        <w:fldChar w:fldCharType="separate"/>
      </w:r>
      <w:r w:rsidR="00C9686B" w:rsidRPr="00C9686B">
        <w:rPr>
          <w:rFonts w:ascii="Calibri" w:hAnsi="Calibri" w:cs="Calibri"/>
          <w:color w:val="000000"/>
          <w:vertAlign w:val="superscript"/>
        </w:rPr>
        <w:t>3</w:t>
      </w:r>
      <w:r w:rsidR="00C9686B">
        <w:rPr>
          <w:rFonts w:ascii="Calibri" w:hAnsi="Calibri" w:cs="Calibri"/>
          <w:color w:val="202124"/>
          <w:u w:val="single"/>
          <w:shd w:val="clear" w:color="auto" w:fill="FFFFFF"/>
        </w:rPr>
        <w:fldChar w:fldCharType="end"/>
      </w:r>
      <w:r w:rsidR="00AB7464">
        <w:rPr>
          <w:rFonts w:ascii="Calibri" w:hAnsi="Calibri" w:cs="Calibri"/>
          <w:color w:val="202124"/>
          <w:shd w:val="clear" w:color="auto" w:fill="FFFFFF"/>
        </w:rPr>
        <w:t>:</w:t>
      </w:r>
      <w:r w:rsidR="00EA6B9E" w:rsidRPr="00EA6B9E">
        <w:rPr>
          <w:rFonts w:ascii="Calibri" w:hAnsi="Calibri" w:cs="Calibri"/>
          <w:color w:val="202124"/>
          <w:shd w:val="clear" w:color="auto" w:fill="FFFFFF"/>
        </w:rPr>
        <w:t xml:space="preserve"> </w:t>
      </w:r>
      <w:r w:rsidR="00AB7464">
        <w:rPr>
          <w:rFonts w:ascii="Calibri" w:hAnsi="Calibri" w:cs="Calibri"/>
          <w:color w:val="202124"/>
          <w:shd w:val="clear" w:color="auto" w:fill="FFFFFF"/>
        </w:rPr>
        <w:t>This protocol uses</w:t>
      </w:r>
      <w:r w:rsidR="007B2BBF">
        <w:rPr>
          <w:rFonts w:ascii="Calibri" w:hAnsi="Calibri" w:cs="Calibri"/>
          <w:color w:val="202124"/>
          <w:shd w:val="clear" w:color="auto" w:fill="FFFFFF"/>
        </w:rPr>
        <w:t xml:space="preserve"> a </w:t>
      </w:r>
      <w:r w:rsidR="00EA6B9E" w:rsidRPr="00EA6B9E">
        <w:rPr>
          <w:rFonts w:ascii="Calibri" w:hAnsi="Calibri" w:cs="Calibri"/>
        </w:rPr>
        <w:t xml:space="preserve">9% </w:t>
      </w:r>
      <w:r w:rsidR="00AE0D73">
        <w:rPr>
          <w:rFonts w:ascii="Calibri" w:hAnsi="Calibri" w:cs="Calibri"/>
        </w:rPr>
        <w:t>g</w:t>
      </w:r>
      <w:r w:rsidR="00EA6B9E" w:rsidRPr="00EA6B9E">
        <w:rPr>
          <w:rFonts w:ascii="Calibri" w:hAnsi="Calibri" w:cs="Calibri"/>
        </w:rPr>
        <w:t>lyoxal</w:t>
      </w:r>
      <w:r w:rsidR="007B2BBF">
        <w:rPr>
          <w:rFonts w:ascii="Calibri" w:hAnsi="Calibri" w:cs="Calibri"/>
        </w:rPr>
        <w:t xml:space="preserve"> solution </w:t>
      </w:r>
      <w:r w:rsidR="00AE0D73">
        <w:rPr>
          <w:rFonts w:ascii="Calibri" w:hAnsi="Calibri" w:cs="Calibri"/>
        </w:rPr>
        <w:t xml:space="preserve">consisting of </w:t>
      </w:r>
      <w:r w:rsidR="00EA6B9E" w:rsidRPr="00EA6B9E">
        <w:rPr>
          <w:rFonts w:ascii="Calibri" w:hAnsi="Calibri" w:cs="Calibri"/>
        </w:rPr>
        <w:t>9%</w:t>
      </w:r>
      <w:r w:rsidR="00AE0D73">
        <w:rPr>
          <w:rFonts w:ascii="Calibri" w:hAnsi="Calibri" w:cs="Calibri"/>
        </w:rPr>
        <w:t xml:space="preserve"> </w:t>
      </w:r>
      <w:r w:rsidR="00EA6B9E" w:rsidRPr="00EA6B9E">
        <w:rPr>
          <w:rFonts w:ascii="Calibri" w:hAnsi="Calibri" w:cs="Calibri"/>
        </w:rPr>
        <w:t xml:space="preserve">v/v </w:t>
      </w:r>
      <w:r w:rsidR="00AE0D73">
        <w:rPr>
          <w:rFonts w:ascii="Calibri" w:hAnsi="Calibri" w:cs="Calibri"/>
        </w:rPr>
        <w:t>g</w:t>
      </w:r>
      <w:r w:rsidR="00EA6B9E" w:rsidRPr="00EA6B9E">
        <w:rPr>
          <w:rFonts w:ascii="Calibri" w:hAnsi="Calibri" w:cs="Calibri"/>
        </w:rPr>
        <w:t xml:space="preserve">lyoxal, 0.2% v/v </w:t>
      </w:r>
      <w:r w:rsidR="00AE0D73">
        <w:rPr>
          <w:rFonts w:ascii="Calibri" w:hAnsi="Calibri" w:cs="Calibri"/>
        </w:rPr>
        <w:t>e</w:t>
      </w:r>
      <w:r w:rsidR="00EA6B9E" w:rsidRPr="00EA6B9E">
        <w:rPr>
          <w:rFonts w:ascii="Calibri" w:hAnsi="Calibri" w:cs="Calibri"/>
        </w:rPr>
        <w:t>thanol,</w:t>
      </w:r>
      <w:r w:rsidR="00AE0D73">
        <w:rPr>
          <w:rFonts w:ascii="Calibri" w:hAnsi="Calibri" w:cs="Calibri"/>
        </w:rPr>
        <w:t xml:space="preserve"> and </w:t>
      </w:r>
      <w:r w:rsidR="00EA6B9E" w:rsidRPr="00EA6B9E">
        <w:rPr>
          <w:rFonts w:ascii="Calibri" w:hAnsi="Calibri" w:cs="Calibri"/>
        </w:rPr>
        <w:t xml:space="preserve">0.8% v/v </w:t>
      </w:r>
      <w:r w:rsidR="00AE0D73">
        <w:rPr>
          <w:rFonts w:ascii="Calibri" w:hAnsi="Calibri" w:cs="Calibri"/>
        </w:rPr>
        <w:t>a</w:t>
      </w:r>
      <w:r w:rsidR="00EA6B9E" w:rsidRPr="00EA6B9E">
        <w:rPr>
          <w:rFonts w:ascii="Calibri" w:hAnsi="Calibri" w:cs="Calibri"/>
        </w:rPr>
        <w:t xml:space="preserve">cetic </w:t>
      </w:r>
      <w:r w:rsidR="00AE0D73">
        <w:rPr>
          <w:rFonts w:ascii="Calibri" w:hAnsi="Calibri" w:cs="Calibri"/>
        </w:rPr>
        <w:t>a</w:t>
      </w:r>
      <w:r w:rsidR="00EA6B9E" w:rsidRPr="00EA6B9E">
        <w:rPr>
          <w:rFonts w:ascii="Calibri" w:hAnsi="Calibri" w:cs="Calibri"/>
        </w:rPr>
        <w:t>cid diluted in 1x PBS, pH</w:t>
      </w:r>
      <w:r w:rsidR="00AE0D73">
        <w:rPr>
          <w:rFonts w:ascii="Calibri" w:hAnsi="Calibri" w:cs="Calibri"/>
        </w:rPr>
        <w:t xml:space="preserve"> </w:t>
      </w:r>
      <w:r w:rsidR="00EA6B9E" w:rsidRPr="00EA6B9E">
        <w:rPr>
          <w:rFonts w:ascii="Calibri" w:hAnsi="Calibri" w:cs="Calibri"/>
        </w:rPr>
        <w:t>7.6</w:t>
      </w:r>
      <w:r w:rsidR="00AE0D73">
        <w:rPr>
          <w:rFonts w:ascii="Calibri" w:hAnsi="Calibri" w:cs="Calibri"/>
        </w:rPr>
        <w:t>.</w:t>
      </w:r>
    </w:p>
    <w:p w14:paraId="1BBF1B25" w14:textId="77777777" w:rsidR="006109EC" w:rsidRPr="004A512A" w:rsidRDefault="006109EC" w:rsidP="00631924">
      <w:pPr>
        <w:jc w:val="both"/>
        <w:rPr>
          <w:rFonts w:ascii="Calibri" w:hAnsi="Calibri" w:cs="Calibri"/>
        </w:rPr>
      </w:pPr>
    </w:p>
    <w:p w14:paraId="0240C6F9" w14:textId="0AA22E4D" w:rsidR="004A512A" w:rsidRPr="004A512A" w:rsidRDefault="004A512A" w:rsidP="00631924">
      <w:pPr>
        <w:pStyle w:val="Heading1JOVE"/>
        <w:numPr>
          <w:ilvl w:val="0"/>
          <w:numId w:val="13"/>
        </w:numPr>
        <w:spacing w:before="0"/>
        <w:rPr>
          <w:color w:val="000000" w:themeColor="text1"/>
        </w:rPr>
      </w:pPr>
      <w:bookmarkStart w:id="7" w:name="_Toc203070177"/>
      <w:r>
        <w:t>Supplemental References</w:t>
      </w:r>
      <w:bookmarkEnd w:id="7"/>
    </w:p>
    <w:p w14:paraId="0ED58E1D" w14:textId="77777777" w:rsidR="00BF45C5" w:rsidRPr="004A512A" w:rsidRDefault="00BF45C5" w:rsidP="00631924">
      <w:pPr>
        <w:pStyle w:val="Bibliography"/>
        <w:jc w:val="both"/>
        <w:rPr>
          <w:rFonts w:ascii="Calibri" w:hAnsi="Calibri" w:cs="Calibri"/>
        </w:rPr>
      </w:pPr>
    </w:p>
    <w:p w14:paraId="1DA9D828" w14:textId="78C4FA43" w:rsidR="00AB7464" w:rsidRPr="00AB7464" w:rsidRDefault="00AB7464" w:rsidP="00AB7464">
      <w:pPr>
        <w:pStyle w:val="Bibliography"/>
        <w:numPr>
          <w:ilvl w:val="0"/>
          <w:numId w:val="14"/>
        </w:numPr>
        <w:ind w:left="284" w:firstLine="0"/>
        <w:jc w:val="both"/>
        <w:rPr>
          <w:rFonts w:ascii="Calibri" w:hAnsi="Calibri" w:cs="Calibri"/>
        </w:rPr>
      </w:pPr>
      <w:proofErr w:type="spellStart"/>
      <w:r w:rsidRPr="00AB7464">
        <w:rPr>
          <w:rFonts w:ascii="Calibri" w:hAnsi="Calibri" w:cs="Calibri"/>
        </w:rPr>
        <w:t>Weitkunat</w:t>
      </w:r>
      <w:proofErr w:type="spellEnd"/>
      <w:r w:rsidRPr="00AB7464">
        <w:rPr>
          <w:rFonts w:ascii="Calibri" w:hAnsi="Calibri" w:cs="Calibri"/>
        </w:rPr>
        <w:t xml:space="preserve">, M., Schnorrer, F. A guide to study Drosophila muscle biology. </w:t>
      </w:r>
      <w:r w:rsidRPr="00AB7464">
        <w:rPr>
          <w:rFonts w:ascii="Calibri" w:hAnsi="Calibri" w:cs="Calibri"/>
          <w:i/>
          <w:iCs/>
        </w:rPr>
        <w:t>Methods.</w:t>
      </w:r>
      <w:r w:rsidRPr="00AB7464">
        <w:rPr>
          <w:rFonts w:ascii="Calibri" w:hAnsi="Calibri" w:cs="Calibri"/>
        </w:rPr>
        <w:t xml:space="preserve"> </w:t>
      </w:r>
      <w:r w:rsidRPr="00AB7464">
        <w:rPr>
          <w:rFonts w:ascii="Calibri" w:hAnsi="Calibri" w:cs="Calibri"/>
          <w:b/>
          <w:bCs/>
        </w:rPr>
        <w:t>68</w:t>
      </w:r>
      <w:r w:rsidRPr="00AB7464">
        <w:rPr>
          <w:rFonts w:ascii="Calibri" w:hAnsi="Calibri" w:cs="Calibri"/>
        </w:rPr>
        <w:t xml:space="preserve"> (1), 2–14, </w:t>
      </w:r>
      <w:proofErr w:type="gramStart"/>
      <w:r w:rsidRPr="00AB7464">
        <w:rPr>
          <w:rFonts w:ascii="Calibri" w:hAnsi="Calibri" w:cs="Calibri"/>
        </w:rPr>
        <w:t>doi:10.1016/j.ymeth</w:t>
      </w:r>
      <w:proofErr w:type="gramEnd"/>
      <w:r w:rsidRPr="00AB7464">
        <w:rPr>
          <w:rFonts w:ascii="Calibri" w:hAnsi="Calibri" w:cs="Calibri"/>
        </w:rPr>
        <w:t>.2014.02.037 (2014).</w:t>
      </w:r>
    </w:p>
    <w:p w14:paraId="17D64090" w14:textId="3464A51D" w:rsidR="00AB7464" w:rsidRPr="00AB7464" w:rsidRDefault="00AB7464" w:rsidP="00AB7464">
      <w:pPr>
        <w:pStyle w:val="Bibliography"/>
        <w:numPr>
          <w:ilvl w:val="0"/>
          <w:numId w:val="14"/>
        </w:numPr>
        <w:ind w:left="284" w:firstLine="0"/>
        <w:jc w:val="both"/>
        <w:rPr>
          <w:rFonts w:ascii="Calibri" w:hAnsi="Calibri" w:cs="Calibri"/>
        </w:rPr>
      </w:pPr>
      <w:r w:rsidRPr="00AB7464">
        <w:rPr>
          <w:rFonts w:ascii="Calibri" w:hAnsi="Calibri" w:cs="Calibri"/>
        </w:rPr>
        <w:t xml:space="preserve">Schönbauer, C. et al. Spalt mediates an evolutionarily conserved switch to fibrillar muscle fate in insects. </w:t>
      </w:r>
      <w:r w:rsidRPr="00AB7464">
        <w:rPr>
          <w:rFonts w:ascii="Calibri" w:hAnsi="Calibri" w:cs="Calibri"/>
          <w:i/>
          <w:iCs/>
        </w:rPr>
        <w:t>Nature.</w:t>
      </w:r>
      <w:r w:rsidRPr="00AB7464">
        <w:rPr>
          <w:rFonts w:ascii="Calibri" w:hAnsi="Calibri" w:cs="Calibri"/>
        </w:rPr>
        <w:t xml:space="preserve"> </w:t>
      </w:r>
      <w:r w:rsidRPr="00AB7464">
        <w:rPr>
          <w:rFonts w:ascii="Calibri" w:hAnsi="Calibri" w:cs="Calibri"/>
          <w:b/>
          <w:bCs/>
        </w:rPr>
        <w:t>479</w:t>
      </w:r>
      <w:r w:rsidRPr="00AB7464">
        <w:rPr>
          <w:rFonts w:ascii="Calibri" w:hAnsi="Calibri" w:cs="Calibri"/>
        </w:rPr>
        <w:t xml:space="preserve"> (7373), 406–409, doi:10.1038/nature10559 (2011).</w:t>
      </w:r>
    </w:p>
    <w:p w14:paraId="11779979" w14:textId="141F204E" w:rsidR="00AB7464" w:rsidRPr="00AB7464" w:rsidRDefault="00AB7464" w:rsidP="00AB7464">
      <w:pPr>
        <w:pStyle w:val="Bibliography"/>
        <w:numPr>
          <w:ilvl w:val="0"/>
          <w:numId w:val="14"/>
        </w:numPr>
        <w:ind w:left="284" w:firstLine="0"/>
        <w:jc w:val="both"/>
        <w:rPr>
          <w:rFonts w:ascii="Calibri" w:hAnsi="Calibri" w:cs="Calibri"/>
        </w:rPr>
      </w:pPr>
      <w:r w:rsidRPr="00AB7464">
        <w:rPr>
          <w:rFonts w:ascii="Calibri" w:hAnsi="Calibri" w:cs="Calibri"/>
        </w:rPr>
        <w:t xml:space="preserve">Konno, K., Yamasaki, M., Miyazaki, T., Watanabe, M. Glyoxal fixation: an approach to solve immunohistochemical problem in neuroscience research. </w:t>
      </w:r>
      <w:r w:rsidRPr="00AB7464">
        <w:rPr>
          <w:rFonts w:ascii="Calibri" w:hAnsi="Calibri" w:cs="Calibri"/>
          <w:i/>
          <w:iCs/>
        </w:rPr>
        <w:t>Sci Adv.</w:t>
      </w:r>
      <w:r w:rsidRPr="00AB7464">
        <w:rPr>
          <w:rFonts w:ascii="Calibri" w:hAnsi="Calibri" w:cs="Calibri"/>
        </w:rPr>
        <w:t xml:space="preserve"> </w:t>
      </w:r>
      <w:r w:rsidRPr="00AB7464">
        <w:rPr>
          <w:rFonts w:ascii="Calibri" w:hAnsi="Calibri" w:cs="Calibri"/>
          <w:b/>
          <w:bCs/>
        </w:rPr>
        <w:t>9</w:t>
      </w:r>
      <w:r w:rsidRPr="00AB7464">
        <w:rPr>
          <w:rFonts w:ascii="Calibri" w:hAnsi="Calibri" w:cs="Calibri"/>
        </w:rPr>
        <w:t xml:space="preserve"> (28), eadf7084, doi:10.1126/sciadv.adf7084 (2023).</w:t>
      </w:r>
    </w:p>
    <w:p w14:paraId="34478389" w14:textId="092710DA" w:rsidR="00AB7464" w:rsidRPr="00AB7464" w:rsidRDefault="00AB7464" w:rsidP="00AB7464">
      <w:pPr>
        <w:pStyle w:val="Bibliography"/>
        <w:numPr>
          <w:ilvl w:val="0"/>
          <w:numId w:val="14"/>
        </w:numPr>
        <w:ind w:left="284" w:firstLine="0"/>
        <w:jc w:val="both"/>
        <w:rPr>
          <w:rFonts w:ascii="Calibri" w:hAnsi="Calibri" w:cs="Calibri"/>
        </w:rPr>
      </w:pPr>
      <w:r w:rsidRPr="00AB7464">
        <w:rPr>
          <w:rFonts w:ascii="Calibri" w:hAnsi="Calibri" w:cs="Calibri"/>
        </w:rPr>
        <w:t xml:space="preserve">Hunt, L. C., </w:t>
      </w:r>
      <w:proofErr w:type="spellStart"/>
      <w:r w:rsidRPr="00AB7464">
        <w:rPr>
          <w:rFonts w:ascii="Calibri" w:hAnsi="Calibri" w:cs="Calibri"/>
        </w:rPr>
        <w:t>Demontis</w:t>
      </w:r>
      <w:proofErr w:type="spellEnd"/>
      <w:r w:rsidRPr="00AB7464">
        <w:rPr>
          <w:rFonts w:ascii="Calibri" w:hAnsi="Calibri" w:cs="Calibri"/>
        </w:rPr>
        <w:t xml:space="preserve">, F. Whole-mount immunostaining of Drosophila skeletal muscle. </w:t>
      </w:r>
      <w:r w:rsidRPr="00AB7464">
        <w:rPr>
          <w:rFonts w:ascii="Calibri" w:hAnsi="Calibri" w:cs="Calibri"/>
          <w:i/>
          <w:iCs/>
        </w:rPr>
        <w:t xml:space="preserve">Nat </w:t>
      </w:r>
      <w:proofErr w:type="spellStart"/>
      <w:r w:rsidRPr="00AB7464">
        <w:rPr>
          <w:rFonts w:ascii="Calibri" w:hAnsi="Calibri" w:cs="Calibri"/>
          <w:i/>
          <w:iCs/>
        </w:rPr>
        <w:t>Protoc</w:t>
      </w:r>
      <w:proofErr w:type="spellEnd"/>
      <w:r w:rsidRPr="00AB7464">
        <w:rPr>
          <w:rFonts w:ascii="Calibri" w:hAnsi="Calibri" w:cs="Calibri"/>
          <w:i/>
          <w:iCs/>
        </w:rPr>
        <w:t>.</w:t>
      </w:r>
      <w:r w:rsidRPr="00AB7464">
        <w:rPr>
          <w:rFonts w:ascii="Calibri" w:hAnsi="Calibri" w:cs="Calibri"/>
        </w:rPr>
        <w:t xml:space="preserve"> </w:t>
      </w:r>
      <w:r w:rsidRPr="00AB7464">
        <w:rPr>
          <w:rFonts w:ascii="Calibri" w:hAnsi="Calibri" w:cs="Calibri"/>
          <w:b/>
          <w:bCs/>
        </w:rPr>
        <w:t>8</w:t>
      </w:r>
      <w:r w:rsidRPr="00AB7464">
        <w:rPr>
          <w:rFonts w:ascii="Calibri" w:hAnsi="Calibri" w:cs="Calibri"/>
        </w:rPr>
        <w:t xml:space="preserve"> (12), 2496–2501, doi:10.1038/nprot.2013.156 (2013).</w:t>
      </w:r>
    </w:p>
    <w:p w14:paraId="368DEAAC" w14:textId="3ABE3DBB" w:rsidR="00AB7464" w:rsidRPr="00AB7464" w:rsidRDefault="00AB7464" w:rsidP="00AB7464">
      <w:pPr>
        <w:pStyle w:val="Bibliography"/>
        <w:numPr>
          <w:ilvl w:val="0"/>
          <w:numId w:val="14"/>
        </w:numPr>
        <w:ind w:left="284" w:firstLine="0"/>
        <w:jc w:val="both"/>
        <w:rPr>
          <w:rFonts w:ascii="Calibri" w:hAnsi="Calibri" w:cs="Calibri"/>
        </w:rPr>
      </w:pPr>
      <w:r w:rsidRPr="00AB7464">
        <w:rPr>
          <w:rFonts w:ascii="Calibri" w:hAnsi="Calibri" w:cs="Calibri"/>
        </w:rPr>
        <w:t xml:space="preserve">Phosphate-buffered saline (PBS). </w:t>
      </w:r>
      <w:r w:rsidRPr="00AB7464">
        <w:rPr>
          <w:rFonts w:ascii="Calibri" w:hAnsi="Calibri" w:cs="Calibri"/>
          <w:i/>
          <w:iCs/>
        </w:rPr>
        <w:t xml:space="preserve">Cold Spring Harb </w:t>
      </w:r>
      <w:proofErr w:type="spellStart"/>
      <w:r w:rsidRPr="00AB7464">
        <w:rPr>
          <w:rFonts w:ascii="Calibri" w:hAnsi="Calibri" w:cs="Calibri"/>
          <w:i/>
          <w:iCs/>
        </w:rPr>
        <w:t>Protoc</w:t>
      </w:r>
      <w:proofErr w:type="spellEnd"/>
      <w:r w:rsidRPr="00AB7464">
        <w:rPr>
          <w:rFonts w:ascii="Calibri" w:hAnsi="Calibri" w:cs="Calibri"/>
          <w:i/>
          <w:iCs/>
        </w:rPr>
        <w:t>.</w:t>
      </w:r>
      <w:r w:rsidRPr="00AB7464">
        <w:rPr>
          <w:rFonts w:ascii="Calibri" w:hAnsi="Calibri" w:cs="Calibri"/>
        </w:rPr>
        <w:t xml:space="preserve"> </w:t>
      </w:r>
      <w:r w:rsidRPr="00AB7464">
        <w:rPr>
          <w:rFonts w:ascii="Calibri" w:hAnsi="Calibri" w:cs="Calibri"/>
          <w:b/>
          <w:bCs/>
        </w:rPr>
        <w:t>2006</w:t>
      </w:r>
      <w:r w:rsidRPr="00AB7464">
        <w:rPr>
          <w:rFonts w:ascii="Calibri" w:hAnsi="Calibri" w:cs="Calibri"/>
        </w:rPr>
        <w:t xml:space="preserve"> (1), pdb.rec8247, doi:10.1101/pdb.rec8247 (2006).</w:t>
      </w:r>
    </w:p>
    <w:p w14:paraId="66F6C00F" w14:textId="4D46514D" w:rsidR="004F1894" w:rsidRPr="000F6CA0" w:rsidRDefault="004F1894" w:rsidP="00AB7464">
      <w:pPr>
        <w:pStyle w:val="Bibliography"/>
        <w:tabs>
          <w:tab w:val="clear" w:pos="260"/>
          <w:tab w:val="left" w:pos="0"/>
        </w:tabs>
        <w:jc w:val="both"/>
        <w:rPr>
          <w:rFonts w:ascii="Calibri" w:hAnsi="Calibri" w:cs="Calibri"/>
          <w:b/>
          <w:bCs/>
        </w:rPr>
      </w:pPr>
    </w:p>
    <w:sectPr w:rsidR="004F1894" w:rsidRPr="000F6CA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5817C" w14:textId="77777777" w:rsidR="001B5430" w:rsidRDefault="001B5430" w:rsidP="00762D31">
      <w:r>
        <w:separator/>
      </w:r>
    </w:p>
  </w:endnote>
  <w:endnote w:type="continuationSeparator" w:id="0">
    <w:p w14:paraId="5FD1D5F8" w14:textId="77777777" w:rsidR="001B5430" w:rsidRDefault="001B5430" w:rsidP="0076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2039311"/>
      <w:docPartObj>
        <w:docPartGallery w:val="Page Numbers (Bottom of Page)"/>
        <w:docPartUnique/>
      </w:docPartObj>
    </w:sdtPr>
    <w:sdtContent>
      <w:p w14:paraId="1EEC0F41" w14:textId="0964B5A1" w:rsidR="00762D31" w:rsidRDefault="00762D31" w:rsidP="00254A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54E75E" w14:textId="77777777" w:rsidR="00762D31" w:rsidRDefault="00762D31" w:rsidP="00762D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9287821"/>
      <w:docPartObj>
        <w:docPartGallery w:val="Page Numbers (Bottom of Page)"/>
        <w:docPartUnique/>
      </w:docPartObj>
    </w:sdtPr>
    <w:sdtContent>
      <w:p w14:paraId="2C348EA1" w14:textId="45CA792E" w:rsidR="00762D31" w:rsidRDefault="00762D31" w:rsidP="00254A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A12277" w14:textId="77777777" w:rsidR="00762D31" w:rsidRDefault="00762D31" w:rsidP="00762D31">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B3228" w14:textId="77777777" w:rsidR="001B5430" w:rsidRDefault="001B5430" w:rsidP="00762D31">
      <w:r>
        <w:separator/>
      </w:r>
    </w:p>
  </w:footnote>
  <w:footnote w:type="continuationSeparator" w:id="0">
    <w:p w14:paraId="401A40A1" w14:textId="77777777" w:rsidR="001B5430" w:rsidRDefault="001B5430" w:rsidP="00762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338"/>
    <w:multiLevelType w:val="hybridMultilevel"/>
    <w:tmpl w:val="1084F690"/>
    <w:lvl w:ilvl="0" w:tplc="3E66622A">
      <w:start w:val="2"/>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83254B"/>
    <w:multiLevelType w:val="multilevel"/>
    <w:tmpl w:val="29B0A08E"/>
    <w:lvl w:ilvl="0">
      <w:start w:val="6"/>
      <w:numFmt w:val="decimal"/>
      <w:lvlText w:val="%1."/>
      <w:lvlJc w:val="left"/>
      <w:pPr>
        <w:ind w:left="360" w:hanging="36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106F16"/>
    <w:multiLevelType w:val="hybridMultilevel"/>
    <w:tmpl w:val="FF4A7A54"/>
    <w:lvl w:ilvl="0" w:tplc="F842B8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A183F"/>
    <w:multiLevelType w:val="multilevel"/>
    <w:tmpl w:val="2EA4CD72"/>
    <w:lvl w:ilvl="0">
      <w:start w:val="4"/>
      <w:numFmt w:val="decimal"/>
      <w:lvlText w:val="%1."/>
      <w:lvlJc w:val="left"/>
      <w:pPr>
        <w:ind w:left="360" w:hanging="36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9A46F2"/>
    <w:multiLevelType w:val="multilevel"/>
    <w:tmpl w:val="FB1E66B0"/>
    <w:lvl w:ilvl="0">
      <w:start w:val="1"/>
      <w:numFmt w:val="decimal"/>
      <w:lvlText w:val="%1."/>
      <w:lvlJc w:val="left"/>
      <w:pPr>
        <w:ind w:left="360" w:hanging="36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8F6DEC"/>
    <w:multiLevelType w:val="multilevel"/>
    <w:tmpl w:val="2EA4CD72"/>
    <w:lvl w:ilvl="0">
      <w:start w:val="4"/>
      <w:numFmt w:val="decimal"/>
      <w:lvlText w:val="%1."/>
      <w:lvlJc w:val="left"/>
      <w:pPr>
        <w:ind w:left="360" w:hanging="36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8669E2"/>
    <w:multiLevelType w:val="hybridMultilevel"/>
    <w:tmpl w:val="ECD8C12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87614A1"/>
    <w:multiLevelType w:val="hybridMultilevel"/>
    <w:tmpl w:val="22A47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DA0D5C"/>
    <w:multiLevelType w:val="multilevel"/>
    <w:tmpl w:val="2EA4CD72"/>
    <w:lvl w:ilvl="0">
      <w:start w:val="4"/>
      <w:numFmt w:val="decimal"/>
      <w:lvlText w:val="%1."/>
      <w:lvlJc w:val="left"/>
      <w:pPr>
        <w:ind w:left="360" w:hanging="36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7C6C91"/>
    <w:multiLevelType w:val="hybridMultilevel"/>
    <w:tmpl w:val="709C9E80"/>
    <w:lvl w:ilvl="0" w:tplc="8062C65A">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436734C"/>
    <w:multiLevelType w:val="multilevel"/>
    <w:tmpl w:val="FDEE30EE"/>
    <w:lvl w:ilvl="0">
      <w:start w:val="4"/>
      <w:numFmt w:val="decimal"/>
      <w:lvlText w:val="%1."/>
      <w:lvlJc w:val="left"/>
      <w:pPr>
        <w:ind w:left="360" w:hanging="36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B16BBE"/>
    <w:multiLevelType w:val="hybridMultilevel"/>
    <w:tmpl w:val="582C20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5CA44F9"/>
    <w:multiLevelType w:val="multilevel"/>
    <w:tmpl w:val="2962E8B2"/>
    <w:lvl w:ilvl="0">
      <w:start w:val="5"/>
      <w:numFmt w:val="decimal"/>
      <w:lvlText w:val="%1."/>
      <w:lvlJc w:val="left"/>
      <w:pPr>
        <w:ind w:left="360" w:hanging="36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51611D"/>
    <w:multiLevelType w:val="multilevel"/>
    <w:tmpl w:val="2EA4CD72"/>
    <w:lvl w:ilvl="0">
      <w:start w:val="4"/>
      <w:numFmt w:val="decimal"/>
      <w:lvlText w:val="%1."/>
      <w:lvlJc w:val="left"/>
      <w:pPr>
        <w:ind w:left="360" w:hanging="36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700D64"/>
    <w:multiLevelType w:val="hybridMultilevel"/>
    <w:tmpl w:val="C4EAB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790480">
    <w:abstractNumId w:val="11"/>
  </w:num>
  <w:num w:numId="2" w16cid:durableId="961307204">
    <w:abstractNumId w:val="12"/>
  </w:num>
  <w:num w:numId="3" w16cid:durableId="1329599004">
    <w:abstractNumId w:val="6"/>
  </w:num>
  <w:num w:numId="4" w16cid:durableId="590747701">
    <w:abstractNumId w:val="0"/>
  </w:num>
  <w:num w:numId="5" w16cid:durableId="1406487489">
    <w:abstractNumId w:val="9"/>
  </w:num>
  <w:num w:numId="6" w16cid:durableId="148600769">
    <w:abstractNumId w:val="10"/>
  </w:num>
  <w:num w:numId="7" w16cid:durableId="925454144">
    <w:abstractNumId w:val="8"/>
  </w:num>
  <w:num w:numId="8" w16cid:durableId="1827239386">
    <w:abstractNumId w:val="14"/>
  </w:num>
  <w:num w:numId="9" w16cid:durableId="1771774585">
    <w:abstractNumId w:val="4"/>
  </w:num>
  <w:num w:numId="10" w16cid:durableId="1633290092">
    <w:abstractNumId w:val="13"/>
  </w:num>
  <w:num w:numId="11" w16cid:durableId="979533440">
    <w:abstractNumId w:val="3"/>
  </w:num>
  <w:num w:numId="12" w16cid:durableId="608388759">
    <w:abstractNumId w:val="5"/>
  </w:num>
  <w:num w:numId="13" w16cid:durableId="26611068">
    <w:abstractNumId w:val="1"/>
  </w:num>
  <w:num w:numId="14" w16cid:durableId="1948610679">
    <w:abstractNumId w:val="7"/>
  </w:num>
  <w:num w:numId="15" w16cid:durableId="1873492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70"/>
    <w:rsid w:val="00005671"/>
    <w:rsid w:val="00022ABF"/>
    <w:rsid w:val="000277E4"/>
    <w:rsid w:val="00027B7C"/>
    <w:rsid w:val="00041BE4"/>
    <w:rsid w:val="00044518"/>
    <w:rsid w:val="00047DCE"/>
    <w:rsid w:val="000556FE"/>
    <w:rsid w:val="00070F09"/>
    <w:rsid w:val="00077720"/>
    <w:rsid w:val="00097E8D"/>
    <w:rsid w:val="000B3B31"/>
    <w:rsid w:val="000D072A"/>
    <w:rsid w:val="000D5435"/>
    <w:rsid w:val="000E781F"/>
    <w:rsid w:val="000F6CA0"/>
    <w:rsid w:val="001045AE"/>
    <w:rsid w:val="0010748E"/>
    <w:rsid w:val="001355CD"/>
    <w:rsid w:val="00160116"/>
    <w:rsid w:val="0016450C"/>
    <w:rsid w:val="00165515"/>
    <w:rsid w:val="00194AC6"/>
    <w:rsid w:val="001B132F"/>
    <w:rsid w:val="001B415B"/>
    <w:rsid w:val="001B5430"/>
    <w:rsid w:val="001D780B"/>
    <w:rsid w:val="001F7372"/>
    <w:rsid w:val="002065A2"/>
    <w:rsid w:val="002341DA"/>
    <w:rsid w:val="00241FE8"/>
    <w:rsid w:val="0026413E"/>
    <w:rsid w:val="0028212E"/>
    <w:rsid w:val="00283702"/>
    <w:rsid w:val="00292454"/>
    <w:rsid w:val="002956F3"/>
    <w:rsid w:val="002A12C9"/>
    <w:rsid w:val="002B144A"/>
    <w:rsid w:val="002B2B30"/>
    <w:rsid w:val="002E20D1"/>
    <w:rsid w:val="002E6A18"/>
    <w:rsid w:val="003046C8"/>
    <w:rsid w:val="0030793F"/>
    <w:rsid w:val="003472AA"/>
    <w:rsid w:val="00364618"/>
    <w:rsid w:val="00373576"/>
    <w:rsid w:val="00376B46"/>
    <w:rsid w:val="003835F9"/>
    <w:rsid w:val="00386503"/>
    <w:rsid w:val="0038719C"/>
    <w:rsid w:val="00394110"/>
    <w:rsid w:val="003A3970"/>
    <w:rsid w:val="003A4898"/>
    <w:rsid w:val="003A4A8B"/>
    <w:rsid w:val="003A50F0"/>
    <w:rsid w:val="003A5B9F"/>
    <w:rsid w:val="003B5686"/>
    <w:rsid w:val="003D06AB"/>
    <w:rsid w:val="003E34EE"/>
    <w:rsid w:val="003F3D5C"/>
    <w:rsid w:val="00402285"/>
    <w:rsid w:val="00432A3F"/>
    <w:rsid w:val="00434307"/>
    <w:rsid w:val="00434395"/>
    <w:rsid w:val="004353B2"/>
    <w:rsid w:val="00443A4A"/>
    <w:rsid w:val="0047426C"/>
    <w:rsid w:val="004806CD"/>
    <w:rsid w:val="00481293"/>
    <w:rsid w:val="004A512A"/>
    <w:rsid w:val="004B3D95"/>
    <w:rsid w:val="004B591F"/>
    <w:rsid w:val="004D5673"/>
    <w:rsid w:val="004E4344"/>
    <w:rsid w:val="004F1894"/>
    <w:rsid w:val="00512389"/>
    <w:rsid w:val="0052790B"/>
    <w:rsid w:val="00533BEB"/>
    <w:rsid w:val="005365B8"/>
    <w:rsid w:val="00552BA6"/>
    <w:rsid w:val="00555F0D"/>
    <w:rsid w:val="00566579"/>
    <w:rsid w:val="00567E74"/>
    <w:rsid w:val="005862C2"/>
    <w:rsid w:val="00596BBB"/>
    <w:rsid w:val="005A6E80"/>
    <w:rsid w:val="005B0CCF"/>
    <w:rsid w:val="005B6478"/>
    <w:rsid w:val="005D3382"/>
    <w:rsid w:val="005D4EDB"/>
    <w:rsid w:val="005E47C0"/>
    <w:rsid w:val="005F644E"/>
    <w:rsid w:val="006109EC"/>
    <w:rsid w:val="0061285A"/>
    <w:rsid w:val="00613D2E"/>
    <w:rsid w:val="006220A5"/>
    <w:rsid w:val="00624EDF"/>
    <w:rsid w:val="0062605D"/>
    <w:rsid w:val="00631924"/>
    <w:rsid w:val="0063270F"/>
    <w:rsid w:val="006535A3"/>
    <w:rsid w:val="006551B4"/>
    <w:rsid w:val="00660C7B"/>
    <w:rsid w:val="00675D34"/>
    <w:rsid w:val="0068114A"/>
    <w:rsid w:val="00683FC6"/>
    <w:rsid w:val="006A0285"/>
    <w:rsid w:val="006B21D8"/>
    <w:rsid w:val="006C0AA8"/>
    <w:rsid w:val="006C423A"/>
    <w:rsid w:val="006C6A1A"/>
    <w:rsid w:val="006D3669"/>
    <w:rsid w:val="006F7619"/>
    <w:rsid w:val="00743A2B"/>
    <w:rsid w:val="00751B2A"/>
    <w:rsid w:val="00762D31"/>
    <w:rsid w:val="007825A0"/>
    <w:rsid w:val="00782E7D"/>
    <w:rsid w:val="00794DFD"/>
    <w:rsid w:val="00796E11"/>
    <w:rsid w:val="007A2F64"/>
    <w:rsid w:val="007A6564"/>
    <w:rsid w:val="007A6614"/>
    <w:rsid w:val="007B119F"/>
    <w:rsid w:val="007B2BBF"/>
    <w:rsid w:val="007B59A3"/>
    <w:rsid w:val="007C5DB8"/>
    <w:rsid w:val="007E3DD8"/>
    <w:rsid w:val="0080024F"/>
    <w:rsid w:val="00802ED7"/>
    <w:rsid w:val="0081763F"/>
    <w:rsid w:val="008440A1"/>
    <w:rsid w:val="00846B54"/>
    <w:rsid w:val="00851BB2"/>
    <w:rsid w:val="00853FE7"/>
    <w:rsid w:val="00854805"/>
    <w:rsid w:val="00863393"/>
    <w:rsid w:val="008B4C68"/>
    <w:rsid w:val="008C3567"/>
    <w:rsid w:val="008C5146"/>
    <w:rsid w:val="008D57C6"/>
    <w:rsid w:val="008E4475"/>
    <w:rsid w:val="008F1BEE"/>
    <w:rsid w:val="008F41F8"/>
    <w:rsid w:val="00904ED8"/>
    <w:rsid w:val="00905AA2"/>
    <w:rsid w:val="009173B3"/>
    <w:rsid w:val="00920310"/>
    <w:rsid w:val="009218BF"/>
    <w:rsid w:val="00925C13"/>
    <w:rsid w:val="009527D3"/>
    <w:rsid w:val="009638FA"/>
    <w:rsid w:val="0096571B"/>
    <w:rsid w:val="00972A9F"/>
    <w:rsid w:val="009731F5"/>
    <w:rsid w:val="009B2DE7"/>
    <w:rsid w:val="009B6DAE"/>
    <w:rsid w:val="009C7137"/>
    <w:rsid w:val="009D5D54"/>
    <w:rsid w:val="009F7551"/>
    <w:rsid w:val="00A01B2D"/>
    <w:rsid w:val="00A1262A"/>
    <w:rsid w:val="00A27771"/>
    <w:rsid w:val="00A5488B"/>
    <w:rsid w:val="00A924FF"/>
    <w:rsid w:val="00A92B77"/>
    <w:rsid w:val="00AB7464"/>
    <w:rsid w:val="00AC55D9"/>
    <w:rsid w:val="00AE0D73"/>
    <w:rsid w:val="00AF08DB"/>
    <w:rsid w:val="00B036DA"/>
    <w:rsid w:val="00B13164"/>
    <w:rsid w:val="00B200FA"/>
    <w:rsid w:val="00B2676B"/>
    <w:rsid w:val="00B30BD3"/>
    <w:rsid w:val="00B319F2"/>
    <w:rsid w:val="00B34239"/>
    <w:rsid w:val="00B418E2"/>
    <w:rsid w:val="00B440F9"/>
    <w:rsid w:val="00B52475"/>
    <w:rsid w:val="00B61337"/>
    <w:rsid w:val="00B64BD9"/>
    <w:rsid w:val="00B7033E"/>
    <w:rsid w:val="00B71E59"/>
    <w:rsid w:val="00B77423"/>
    <w:rsid w:val="00B8174C"/>
    <w:rsid w:val="00B94549"/>
    <w:rsid w:val="00B95293"/>
    <w:rsid w:val="00BA4059"/>
    <w:rsid w:val="00BB3ACC"/>
    <w:rsid w:val="00BB638A"/>
    <w:rsid w:val="00BC5902"/>
    <w:rsid w:val="00BD2E30"/>
    <w:rsid w:val="00BD5B7C"/>
    <w:rsid w:val="00BF084A"/>
    <w:rsid w:val="00BF45C5"/>
    <w:rsid w:val="00C06E32"/>
    <w:rsid w:val="00C10918"/>
    <w:rsid w:val="00C244DF"/>
    <w:rsid w:val="00C25172"/>
    <w:rsid w:val="00C40B7B"/>
    <w:rsid w:val="00C72DE0"/>
    <w:rsid w:val="00C7405A"/>
    <w:rsid w:val="00C827C9"/>
    <w:rsid w:val="00C9035A"/>
    <w:rsid w:val="00C9686B"/>
    <w:rsid w:val="00CA3575"/>
    <w:rsid w:val="00CB1035"/>
    <w:rsid w:val="00CB3174"/>
    <w:rsid w:val="00CC3541"/>
    <w:rsid w:val="00CE4370"/>
    <w:rsid w:val="00CF73E9"/>
    <w:rsid w:val="00D03182"/>
    <w:rsid w:val="00D12238"/>
    <w:rsid w:val="00D12976"/>
    <w:rsid w:val="00D22637"/>
    <w:rsid w:val="00D268E3"/>
    <w:rsid w:val="00D271DA"/>
    <w:rsid w:val="00D40FD1"/>
    <w:rsid w:val="00D50B94"/>
    <w:rsid w:val="00D55F6F"/>
    <w:rsid w:val="00D74CC4"/>
    <w:rsid w:val="00D779BD"/>
    <w:rsid w:val="00D943FC"/>
    <w:rsid w:val="00DA4412"/>
    <w:rsid w:val="00DA7F0D"/>
    <w:rsid w:val="00DF20E1"/>
    <w:rsid w:val="00DF5942"/>
    <w:rsid w:val="00E007E1"/>
    <w:rsid w:val="00E06350"/>
    <w:rsid w:val="00E246A9"/>
    <w:rsid w:val="00E30B6E"/>
    <w:rsid w:val="00E43836"/>
    <w:rsid w:val="00E71092"/>
    <w:rsid w:val="00E7256E"/>
    <w:rsid w:val="00E8697E"/>
    <w:rsid w:val="00EA4BF5"/>
    <w:rsid w:val="00EA6B9E"/>
    <w:rsid w:val="00EB3850"/>
    <w:rsid w:val="00EC14BA"/>
    <w:rsid w:val="00ED219D"/>
    <w:rsid w:val="00EE5F0D"/>
    <w:rsid w:val="00EF4633"/>
    <w:rsid w:val="00F21940"/>
    <w:rsid w:val="00F25CE9"/>
    <w:rsid w:val="00F33563"/>
    <w:rsid w:val="00F82E0F"/>
    <w:rsid w:val="00F87D1C"/>
    <w:rsid w:val="00F9031E"/>
    <w:rsid w:val="00FA5877"/>
    <w:rsid w:val="00FC2C8F"/>
    <w:rsid w:val="00FD3FEA"/>
    <w:rsid w:val="00FD53A0"/>
    <w:rsid w:val="00FD5B26"/>
    <w:rsid w:val="00FE2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898D"/>
  <w15:chartTrackingRefBased/>
  <w15:docId w15:val="{74C52B3A-0919-2841-9599-231BC199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8D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A397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A397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A397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A397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A397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A397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A397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A397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A397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9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9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9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9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9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970"/>
    <w:rPr>
      <w:rFonts w:eastAsiaTheme="majorEastAsia" w:cstheme="majorBidi"/>
      <w:color w:val="272727" w:themeColor="text1" w:themeTint="D8"/>
    </w:rPr>
  </w:style>
  <w:style w:type="paragraph" w:styleId="Title">
    <w:name w:val="Title"/>
    <w:basedOn w:val="Normal"/>
    <w:next w:val="Normal"/>
    <w:link w:val="TitleChar"/>
    <w:uiPriority w:val="10"/>
    <w:qFormat/>
    <w:rsid w:val="003A397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A3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97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A3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97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A3970"/>
    <w:rPr>
      <w:i/>
      <w:iCs/>
      <w:color w:val="404040" w:themeColor="text1" w:themeTint="BF"/>
    </w:rPr>
  </w:style>
  <w:style w:type="paragraph" w:styleId="ListParagraph">
    <w:name w:val="List Paragraph"/>
    <w:basedOn w:val="Normal"/>
    <w:uiPriority w:val="34"/>
    <w:qFormat/>
    <w:rsid w:val="003A397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A3970"/>
    <w:rPr>
      <w:i/>
      <w:iCs/>
      <w:color w:val="0F4761" w:themeColor="accent1" w:themeShade="BF"/>
    </w:rPr>
  </w:style>
  <w:style w:type="paragraph" w:styleId="IntenseQuote">
    <w:name w:val="Intense Quote"/>
    <w:basedOn w:val="Normal"/>
    <w:next w:val="Normal"/>
    <w:link w:val="IntenseQuoteChar"/>
    <w:uiPriority w:val="30"/>
    <w:qFormat/>
    <w:rsid w:val="003A397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A3970"/>
    <w:rPr>
      <w:i/>
      <w:iCs/>
      <w:color w:val="0F4761" w:themeColor="accent1" w:themeShade="BF"/>
    </w:rPr>
  </w:style>
  <w:style w:type="character" w:styleId="IntenseReference">
    <w:name w:val="Intense Reference"/>
    <w:basedOn w:val="DefaultParagraphFont"/>
    <w:uiPriority w:val="32"/>
    <w:qFormat/>
    <w:rsid w:val="003A3970"/>
    <w:rPr>
      <w:b/>
      <w:bCs/>
      <w:smallCaps/>
      <w:color w:val="0F4761" w:themeColor="accent1" w:themeShade="BF"/>
      <w:spacing w:val="5"/>
    </w:rPr>
  </w:style>
  <w:style w:type="character" w:customStyle="1" w:styleId="apple-converted-space">
    <w:name w:val="apple-converted-space"/>
    <w:basedOn w:val="DefaultParagraphFont"/>
    <w:rsid w:val="003A3970"/>
  </w:style>
  <w:style w:type="character" w:customStyle="1" w:styleId="outlook-search-highlight">
    <w:name w:val="outlook-search-highlight"/>
    <w:basedOn w:val="DefaultParagraphFont"/>
    <w:rsid w:val="003A3970"/>
  </w:style>
  <w:style w:type="paragraph" w:styleId="Bibliography">
    <w:name w:val="Bibliography"/>
    <w:basedOn w:val="Normal"/>
    <w:next w:val="Normal"/>
    <w:uiPriority w:val="37"/>
    <w:unhideWhenUsed/>
    <w:rsid w:val="006109EC"/>
    <w:pPr>
      <w:tabs>
        <w:tab w:val="left" w:pos="260"/>
      </w:tabs>
      <w:ind w:left="264" w:hanging="264"/>
    </w:pPr>
    <w:rPr>
      <w:rFonts w:asciiTheme="minorHAnsi" w:eastAsiaTheme="minorHAnsi" w:hAnsiTheme="minorHAnsi" w:cstheme="minorBidi"/>
      <w:kern w:val="2"/>
      <w14:ligatures w14:val="standardContextual"/>
    </w:rPr>
  </w:style>
  <w:style w:type="paragraph" w:styleId="TOCHeading">
    <w:name w:val="TOC Heading"/>
    <w:basedOn w:val="Heading1"/>
    <w:next w:val="Normal"/>
    <w:uiPriority w:val="39"/>
    <w:unhideWhenUsed/>
    <w:qFormat/>
    <w:rsid w:val="004B591F"/>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4B591F"/>
    <w:pPr>
      <w:spacing w:before="120"/>
    </w:pPr>
    <w:rPr>
      <w:rFonts w:asciiTheme="minorHAnsi" w:hAnsiTheme="minorHAnsi"/>
      <w:b/>
      <w:bCs/>
      <w:i/>
      <w:iCs/>
    </w:rPr>
  </w:style>
  <w:style w:type="paragraph" w:styleId="TOC2">
    <w:name w:val="toc 2"/>
    <w:basedOn w:val="Normal"/>
    <w:next w:val="Normal"/>
    <w:autoRedefine/>
    <w:uiPriority w:val="39"/>
    <w:semiHidden/>
    <w:unhideWhenUsed/>
    <w:rsid w:val="004B591F"/>
    <w:pPr>
      <w:spacing w:before="12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4B591F"/>
    <w:pPr>
      <w:ind w:left="480"/>
    </w:pPr>
    <w:rPr>
      <w:rFonts w:asciiTheme="minorHAnsi" w:hAnsiTheme="minorHAnsi"/>
      <w:sz w:val="20"/>
      <w:szCs w:val="20"/>
    </w:rPr>
  </w:style>
  <w:style w:type="paragraph" w:styleId="TOC4">
    <w:name w:val="toc 4"/>
    <w:basedOn w:val="Normal"/>
    <w:next w:val="Normal"/>
    <w:autoRedefine/>
    <w:uiPriority w:val="39"/>
    <w:semiHidden/>
    <w:unhideWhenUsed/>
    <w:rsid w:val="004B591F"/>
    <w:pPr>
      <w:ind w:left="720"/>
    </w:pPr>
    <w:rPr>
      <w:rFonts w:asciiTheme="minorHAnsi" w:hAnsiTheme="minorHAnsi"/>
      <w:sz w:val="20"/>
      <w:szCs w:val="20"/>
    </w:rPr>
  </w:style>
  <w:style w:type="paragraph" w:styleId="TOC5">
    <w:name w:val="toc 5"/>
    <w:basedOn w:val="Normal"/>
    <w:next w:val="Normal"/>
    <w:autoRedefine/>
    <w:uiPriority w:val="39"/>
    <w:semiHidden/>
    <w:unhideWhenUsed/>
    <w:rsid w:val="004B591F"/>
    <w:pPr>
      <w:ind w:left="960"/>
    </w:pPr>
    <w:rPr>
      <w:rFonts w:asciiTheme="minorHAnsi" w:hAnsiTheme="minorHAnsi"/>
      <w:sz w:val="20"/>
      <w:szCs w:val="20"/>
    </w:rPr>
  </w:style>
  <w:style w:type="paragraph" w:styleId="TOC6">
    <w:name w:val="toc 6"/>
    <w:basedOn w:val="Normal"/>
    <w:next w:val="Normal"/>
    <w:autoRedefine/>
    <w:uiPriority w:val="39"/>
    <w:semiHidden/>
    <w:unhideWhenUsed/>
    <w:rsid w:val="004B591F"/>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4B591F"/>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4B591F"/>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4B591F"/>
    <w:pPr>
      <w:ind w:left="1920"/>
    </w:pPr>
    <w:rPr>
      <w:rFonts w:asciiTheme="minorHAnsi" w:hAnsiTheme="minorHAnsi"/>
      <w:sz w:val="20"/>
      <w:szCs w:val="20"/>
    </w:rPr>
  </w:style>
  <w:style w:type="paragraph" w:customStyle="1" w:styleId="Heading1JOVE">
    <w:name w:val="Heading1_JOVE"/>
    <w:basedOn w:val="Heading1"/>
    <w:next w:val="Normal"/>
    <w:qFormat/>
    <w:rsid w:val="004B591F"/>
    <w:pPr>
      <w:widowControl w:val="0"/>
      <w:autoSpaceDE w:val="0"/>
      <w:autoSpaceDN w:val="0"/>
      <w:adjustRightInd w:val="0"/>
      <w:spacing w:after="0" w:line="240" w:lineRule="auto"/>
      <w:jc w:val="both"/>
    </w:pPr>
    <w:rPr>
      <w:rFonts w:ascii="Calibri" w:hAnsi="Calibri" w:cs="Calibri"/>
      <w:b/>
      <w:bCs/>
      <w:color w:val="auto"/>
      <w:sz w:val="24"/>
    </w:rPr>
  </w:style>
  <w:style w:type="character" w:styleId="Hyperlink">
    <w:name w:val="Hyperlink"/>
    <w:basedOn w:val="DefaultParagraphFont"/>
    <w:uiPriority w:val="99"/>
    <w:unhideWhenUsed/>
    <w:rsid w:val="009731F5"/>
    <w:rPr>
      <w:color w:val="467886" w:themeColor="hyperlink"/>
      <w:u w:val="single"/>
    </w:rPr>
  </w:style>
  <w:style w:type="paragraph" w:styleId="Header">
    <w:name w:val="header"/>
    <w:basedOn w:val="Normal"/>
    <w:link w:val="HeaderChar"/>
    <w:uiPriority w:val="99"/>
    <w:unhideWhenUsed/>
    <w:rsid w:val="00762D31"/>
    <w:pPr>
      <w:tabs>
        <w:tab w:val="center" w:pos="4680"/>
        <w:tab w:val="right" w:pos="9360"/>
      </w:tabs>
    </w:pPr>
  </w:style>
  <w:style w:type="character" w:customStyle="1" w:styleId="HeaderChar">
    <w:name w:val="Header Char"/>
    <w:basedOn w:val="DefaultParagraphFont"/>
    <w:link w:val="Header"/>
    <w:uiPriority w:val="99"/>
    <w:rsid w:val="00762D3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62D31"/>
    <w:pPr>
      <w:tabs>
        <w:tab w:val="center" w:pos="4680"/>
        <w:tab w:val="right" w:pos="9360"/>
      </w:tabs>
    </w:pPr>
  </w:style>
  <w:style w:type="character" w:customStyle="1" w:styleId="FooterChar">
    <w:name w:val="Footer Char"/>
    <w:basedOn w:val="DefaultParagraphFont"/>
    <w:link w:val="Footer"/>
    <w:uiPriority w:val="99"/>
    <w:rsid w:val="00762D31"/>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762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52255">
      <w:bodyDiv w:val="1"/>
      <w:marLeft w:val="0"/>
      <w:marRight w:val="0"/>
      <w:marTop w:val="0"/>
      <w:marBottom w:val="0"/>
      <w:divBdr>
        <w:top w:val="none" w:sz="0" w:space="0" w:color="auto"/>
        <w:left w:val="none" w:sz="0" w:space="0" w:color="auto"/>
        <w:bottom w:val="none" w:sz="0" w:space="0" w:color="auto"/>
        <w:right w:val="none" w:sz="0" w:space="0" w:color="auto"/>
      </w:divBdr>
    </w:div>
    <w:div w:id="205195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CDB18-D63F-884B-9F34-523D12485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3852</Words>
  <Characters>21958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DeCata, Jenna (UMKC-Student)</dc:creator>
  <cp:keywords/>
  <dc:description/>
  <cp:lastModifiedBy>Sulakshana Karkala</cp:lastModifiedBy>
  <cp:revision>3</cp:revision>
  <dcterms:created xsi:type="dcterms:W3CDTF">2025-09-06T18:11:00Z</dcterms:created>
  <dcterms:modified xsi:type="dcterms:W3CDTF">2025-10-16T06:58:00Z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id="xHt5t07r"/&gt;&lt;style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