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F3D9" w14:textId="77777777" w:rsidR="00843ADE" w:rsidRPr="007A3D62" w:rsidRDefault="00843ADE" w:rsidP="00843ADE">
      <w:pPr>
        <w:ind w:left="2880" w:firstLine="522"/>
        <w:rPr>
          <w:rFonts w:ascii="Cambria" w:hAnsi="Cambria"/>
          <w:b/>
          <w:color w:val="000000" w:themeColor="text1"/>
          <w:sz w:val="32"/>
          <w:szCs w:val="28"/>
        </w:rPr>
      </w:pPr>
      <w:r w:rsidRPr="007A3D62">
        <w:rPr>
          <w:rFonts w:ascii="Cambria" w:hAnsi="Cambria"/>
          <w:b/>
          <w:color w:val="000000" w:themeColor="text1"/>
          <w:sz w:val="32"/>
          <w:szCs w:val="28"/>
        </w:rPr>
        <w:t>PRI</w:t>
      </w:r>
      <w:r>
        <w:rPr>
          <w:rFonts w:ascii="Cambria" w:hAnsi="Cambria"/>
          <w:b/>
          <w:color w:val="000000" w:themeColor="text1"/>
          <w:sz w:val="32"/>
          <w:szCs w:val="28"/>
        </w:rPr>
        <w:t>L</w:t>
      </w:r>
      <w:r w:rsidRPr="007A3D62">
        <w:rPr>
          <w:rFonts w:ascii="Cambria" w:hAnsi="Cambria"/>
          <w:b/>
          <w:color w:val="000000" w:themeColor="text1"/>
          <w:sz w:val="32"/>
          <w:szCs w:val="28"/>
        </w:rPr>
        <w:t>E 202</w:t>
      </w:r>
      <w:r>
        <w:rPr>
          <w:rFonts w:ascii="Cambria" w:hAnsi="Cambria"/>
          <w:b/>
          <w:color w:val="000000" w:themeColor="text1"/>
          <w:sz w:val="32"/>
          <w:szCs w:val="28"/>
        </w:rPr>
        <w:t>1</w:t>
      </w:r>
      <w:r w:rsidRPr="007A3D62">
        <w:rPr>
          <w:rFonts w:ascii="Cambria" w:hAnsi="Cambria"/>
          <w:b/>
          <w:color w:val="000000" w:themeColor="text1"/>
          <w:sz w:val="32"/>
          <w:szCs w:val="28"/>
        </w:rPr>
        <w:t xml:space="preserve"> Flowchart</w:t>
      </w:r>
    </w:p>
    <w:p w14:paraId="4B688F58" w14:textId="77777777" w:rsidR="00843ADE" w:rsidRPr="008E4B48" w:rsidRDefault="00843ADE" w:rsidP="00843ADE">
      <w:r>
        <w:rPr>
          <w:noProof/>
        </w:rPr>
        <w:drawing>
          <wp:inline distT="0" distB="0" distL="0" distR="0" wp14:anchorId="054FEFB3" wp14:editId="2E42BEC0">
            <wp:extent cx="6362700" cy="7353300"/>
            <wp:effectExtent l="0" t="0" r="0" b="1905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2F8EE8C7" w14:textId="77777777" w:rsidR="006C5D36" w:rsidRDefault="006C5D36"/>
    <w:sectPr w:rsidR="006C5D36" w:rsidSect="00843ADE">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7391"/>
      <w:docPartObj>
        <w:docPartGallery w:val="Page Numbers (Bottom of Page)"/>
        <w:docPartUnique/>
      </w:docPartObj>
    </w:sdtPr>
    <w:sdtContent>
      <w:p w14:paraId="56957B89" w14:textId="77777777" w:rsidR="00843ADE" w:rsidRDefault="00843AD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FB11029" w14:textId="77777777" w:rsidR="00843ADE" w:rsidRDefault="00843AD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36"/>
    <w:rsid w:val="00472FB8"/>
    <w:rsid w:val="0060383D"/>
    <w:rsid w:val="006924D1"/>
    <w:rsid w:val="006C5D36"/>
    <w:rsid w:val="00843ADE"/>
    <w:rsid w:val="00A00D56"/>
    <w:rsid w:val="00DA0EEE"/>
    <w:rsid w:val="00DB776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F4183"/>
  <w15:chartTrackingRefBased/>
  <w15:docId w15:val="{59A96597-2C58-4510-A65F-D7B6B0ED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DE"/>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6C5D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AE"/>
      <w14:ligatures w14:val="standardContextual"/>
    </w:rPr>
  </w:style>
  <w:style w:type="paragraph" w:styleId="Heading2">
    <w:name w:val="heading 2"/>
    <w:basedOn w:val="Normal"/>
    <w:next w:val="Normal"/>
    <w:link w:val="Heading2Char"/>
    <w:uiPriority w:val="9"/>
    <w:semiHidden/>
    <w:unhideWhenUsed/>
    <w:qFormat/>
    <w:rsid w:val="006C5D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AE"/>
      <w14:ligatures w14:val="standardContextual"/>
    </w:rPr>
  </w:style>
  <w:style w:type="paragraph" w:styleId="Heading3">
    <w:name w:val="heading 3"/>
    <w:basedOn w:val="Normal"/>
    <w:next w:val="Normal"/>
    <w:link w:val="Heading3Char"/>
    <w:uiPriority w:val="9"/>
    <w:semiHidden/>
    <w:unhideWhenUsed/>
    <w:qFormat/>
    <w:rsid w:val="006C5D36"/>
    <w:pPr>
      <w:keepNext/>
      <w:keepLines/>
      <w:spacing w:before="160" w:after="80" w:line="278" w:lineRule="auto"/>
      <w:outlineLvl w:val="2"/>
    </w:pPr>
    <w:rPr>
      <w:rFonts w:eastAsiaTheme="majorEastAsia" w:cstheme="majorBidi"/>
      <w:color w:val="0F4761" w:themeColor="accent1" w:themeShade="BF"/>
      <w:kern w:val="2"/>
      <w:sz w:val="28"/>
      <w:szCs w:val="28"/>
      <w:lang w:val="en-AE"/>
      <w14:ligatures w14:val="standardContextual"/>
    </w:rPr>
  </w:style>
  <w:style w:type="paragraph" w:styleId="Heading4">
    <w:name w:val="heading 4"/>
    <w:basedOn w:val="Normal"/>
    <w:next w:val="Normal"/>
    <w:link w:val="Heading4Char"/>
    <w:uiPriority w:val="9"/>
    <w:semiHidden/>
    <w:unhideWhenUsed/>
    <w:qFormat/>
    <w:rsid w:val="006C5D36"/>
    <w:pPr>
      <w:keepNext/>
      <w:keepLines/>
      <w:spacing w:before="80" w:after="40" w:line="278" w:lineRule="auto"/>
      <w:outlineLvl w:val="3"/>
    </w:pPr>
    <w:rPr>
      <w:rFonts w:eastAsiaTheme="majorEastAsia" w:cstheme="majorBidi"/>
      <w:i/>
      <w:iCs/>
      <w:color w:val="0F4761" w:themeColor="accent1" w:themeShade="BF"/>
      <w:kern w:val="2"/>
      <w:sz w:val="24"/>
      <w:szCs w:val="24"/>
      <w:lang w:val="en-AE"/>
      <w14:ligatures w14:val="standardContextual"/>
    </w:rPr>
  </w:style>
  <w:style w:type="paragraph" w:styleId="Heading5">
    <w:name w:val="heading 5"/>
    <w:basedOn w:val="Normal"/>
    <w:next w:val="Normal"/>
    <w:link w:val="Heading5Char"/>
    <w:uiPriority w:val="9"/>
    <w:semiHidden/>
    <w:unhideWhenUsed/>
    <w:qFormat/>
    <w:rsid w:val="006C5D36"/>
    <w:pPr>
      <w:keepNext/>
      <w:keepLines/>
      <w:spacing w:before="80" w:after="40" w:line="278" w:lineRule="auto"/>
      <w:outlineLvl w:val="4"/>
    </w:pPr>
    <w:rPr>
      <w:rFonts w:eastAsiaTheme="majorEastAsia" w:cstheme="majorBidi"/>
      <w:color w:val="0F4761" w:themeColor="accent1" w:themeShade="BF"/>
      <w:kern w:val="2"/>
      <w:sz w:val="24"/>
      <w:szCs w:val="24"/>
      <w:lang w:val="en-AE"/>
      <w14:ligatures w14:val="standardContextual"/>
    </w:rPr>
  </w:style>
  <w:style w:type="paragraph" w:styleId="Heading6">
    <w:name w:val="heading 6"/>
    <w:basedOn w:val="Normal"/>
    <w:next w:val="Normal"/>
    <w:link w:val="Heading6Char"/>
    <w:uiPriority w:val="9"/>
    <w:semiHidden/>
    <w:unhideWhenUsed/>
    <w:qFormat/>
    <w:rsid w:val="006C5D36"/>
    <w:pPr>
      <w:keepNext/>
      <w:keepLines/>
      <w:spacing w:before="40" w:after="0" w:line="278" w:lineRule="auto"/>
      <w:outlineLvl w:val="5"/>
    </w:pPr>
    <w:rPr>
      <w:rFonts w:eastAsiaTheme="majorEastAsia" w:cstheme="majorBidi"/>
      <w:i/>
      <w:iCs/>
      <w:color w:val="595959" w:themeColor="text1" w:themeTint="A6"/>
      <w:kern w:val="2"/>
      <w:sz w:val="24"/>
      <w:szCs w:val="24"/>
      <w:lang w:val="en-AE"/>
      <w14:ligatures w14:val="standardContextual"/>
    </w:rPr>
  </w:style>
  <w:style w:type="paragraph" w:styleId="Heading7">
    <w:name w:val="heading 7"/>
    <w:basedOn w:val="Normal"/>
    <w:next w:val="Normal"/>
    <w:link w:val="Heading7Char"/>
    <w:uiPriority w:val="9"/>
    <w:semiHidden/>
    <w:unhideWhenUsed/>
    <w:qFormat/>
    <w:rsid w:val="006C5D36"/>
    <w:pPr>
      <w:keepNext/>
      <w:keepLines/>
      <w:spacing w:before="40" w:after="0" w:line="278" w:lineRule="auto"/>
      <w:outlineLvl w:val="6"/>
    </w:pPr>
    <w:rPr>
      <w:rFonts w:eastAsiaTheme="majorEastAsia" w:cstheme="majorBidi"/>
      <w:color w:val="595959" w:themeColor="text1" w:themeTint="A6"/>
      <w:kern w:val="2"/>
      <w:sz w:val="24"/>
      <w:szCs w:val="24"/>
      <w:lang w:val="en-AE"/>
      <w14:ligatures w14:val="standardContextual"/>
    </w:rPr>
  </w:style>
  <w:style w:type="paragraph" w:styleId="Heading8">
    <w:name w:val="heading 8"/>
    <w:basedOn w:val="Normal"/>
    <w:next w:val="Normal"/>
    <w:link w:val="Heading8Char"/>
    <w:uiPriority w:val="9"/>
    <w:semiHidden/>
    <w:unhideWhenUsed/>
    <w:qFormat/>
    <w:rsid w:val="006C5D36"/>
    <w:pPr>
      <w:keepNext/>
      <w:keepLines/>
      <w:spacing w:after="0" w:line="278" w:lineRule="auto"/>
      <w:outlineLvl w:val="7"/>
    </w:pPr>
    <w:rPr>
      <w:rFonts w:eastAsiaTheme="majorEastAsia" w:cstheme="majorBidi"/>
      <w:i/>
      <w:iCs/>
      <w:color w:val="272727" w:themeColor="text1" w:themeTint="D8"/>
      <w:kern w:val="2"/>
      <w:sz w:val="24"/>
      <w:szCs w:val="24"/>
      <w:lang w:val="en-AE"/>
      <w14:ligatures w14:val="standardContextual"/>
    </w:rPr>
  </w:style>
  <w:style w:type="paragraph" w:styleId="Heading9">
    <w:name w:val="heading 9"/>
    <w:basedOn w:val="Normal"/>
    <w:next w:val="Normal"/>
    <w:link w:val="Heading9Char"/>
    <w:uiPriority w:val="9"/>
    <w:semiHidden/>
    <w:unhideWhenUsed/>
    <w:qFormat/>
    <w:rsid w:val="006C5D36"/>
    <w:pPr>
      <w:keepNext/>
      <w:keepLines/>
      <w:spacing w:after="0" w:line="278" w:lineRule="auto"/>
      <w:outlineLvl w:val="8"/>
    </w:pPr>
    <w:rPr>
      <w:rFonts w:eastAsiaTheme="majorEastAsia" w:cstheme="majorBidi"/>
      <w:color w:val="272727" w:themeColor="text1" w:themeTint="D8"/>
      <w:kern w:val="2"/>
      <w:sz w:val="24"/>
      <w:szCs w:val="24"/>
      <w:lang w:val="en-A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D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D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D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D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D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D36"/>
    <w:rPr>
      <w:rFonts w:eastAsiaTheme="majorEastAsia" w:cstheme="majorBidi"/>
      <w:color w:val="272727" w:themeColor="text1" w:themeTint="D8"/>
    </w:rPr>
  </w:style>
  <w:style w:type="paragraph" w:styleId="Title">
    <w:name w:val="Title"/>
    <w:basedOn w:val="Normal"/>
    <w:next w:val="Normal"/>
    <w:link w:val="TitleChar"/>
    <w:uiPriority w:val="10"/>
    <w:qFormat/>
    <w:rsid w:val="006C5D36"/>
    <w:pPr>
      <w:spacing w:after="80" w:line="240" w:lineRule="auto"/>
      <w:contextualSpacing/>
    </w:pPr>
    <w:rPr>
      <w:rFonts w:asciiTheme="majorHAnsi" w:eastAsiaTheme="majorEastAsia" w:hAnsiTheme="majorHAnsi" w:cstheme="majorBidi"/>
      <w:spacing w:val="-10"/>
      <w:kern w:val="28"/>
      <w:sz w:val="56"/>
      <w:szCs w:val="56"/>
      <w:lang w:val="en-AE"/>
      <w14:ligatures w14:val="standardContextual"/>
    </w:rPr>
  </w:style>
  <w:style w:type="character" w:customStyle="1" w:styleId="TitleChar">
    <w:name w:val="Title Char"/>
    <w:basedOn w:val="DefaultParagraphFont"/>
    <w:link w:val="Title"/>
    <w:uiPriority w:val="10"/>
    <w:rsid w:val="006C5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D36"/>
    <w:pPr>
      <w:numPr>
        <w:ilvl w:val="1"/>
      </w:numPr>
      <w:spacing w:after="160" w:line="278" w:lineRule="auto"/>
    </w:pPr>
    <w:rPr>
      <w:rFonts w:eastAsiaTheme="majorEastAsia" w:cstheme="majorBidi"/>
      <w:color w:val="595959" w:themeColor="text1" w:themeTint="A6"/>
      <w:spacing w:val="15"/>
      <w:kern w:val="2"/>
      <w:sz w:val="28"/>
      <w:szCs w:val="28"/>
      <w:lang w:val="en-AE"/>
      <w14:ligatures w14:val="standardContextual"/>
    </w:rPr>
  </w:style>
  <w:style w:type="character" w:customStyle="1" w:styleId="SubtitleChar">
    <w:name w:val="Subtitle Char"/>
    <w:basedOn w:val="DefaultParagraphFont"/>
    <w:link w:val="Subtitle"/>
    <w:uiPriority w:val="11"/>
    <w:rsid w:val="006C5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D36"/>
    <w:pPr>
      <w:spacing w:before="160" w:after="160" w:line="278" w:lineRule="auto"/>
      <w:jc w:val="center"/>
    </w:pPr>
    <w:rPr>
      <w:i/>
      <w:iCs/>
      <w:color w:val="404040" w:themeColor="text1" w:themeTint="BF"/>
      <w:kern w:val="2"/>
      <w:sz w:val="24"/>
      <w:szCs w:val="24"/>
      <w:lang w:val="en-AE"/>
      <w14:ligatures w14:val="standardContextual"/>
    </w:rPr>
  </w:style>
  <w:style w:type="character" w:customStyle="1" w:styleId="QuoteChar">
    <w:name w:val="Quote Char"/>
    <w:basedOn w:val="DefaultParagraphFont"/>
    <w:link w:val="Quote"/>
    <w:uiPriority w:val="29"/>
    <w:rsid w:val="006C5D36"/>
    <w:rPr>
      <w:i/>
      <w:iCs/>
      <w:color w:val="404040" w:themeColor="text1" w:themeTint="BF"/>
    </w:rPr>
  </w:style>
  <w:style w:type="paragraph" w:styleId="ListParagraph">
    <w:name w:val="List Paragraph"/>
    <w:basedOn w:val="Normal"/>
    <w:uiPriority w:val="34"/>
    <w:qFormat/>
    <w:rsid w:val="006C5D36"/>
    <w:pPr>
      <w:spacing w:after="160" w:line="278" w:lineRule="auto"/>
      <w:ind w:left="720"/>
      <w:contextualSpacing/>
    </w:pPr>
    <w:rPr>
      <w:kern w:val="2"/>
      <w:sz w:val="24"/>
      <w:szCs w:val="24"/>
      <w:lang w:val="en-AE"/>
      <w14:ligatures w14:val="standardContextual"/>
    </w:rPr>
  </w:style>
  <w:style w:type="character" w:styleId="IntenseEmphasis">
    <w:name w:val="Intense Emphasis"/>
    <w:basedOn w:val="DefaultParagraphFont"/>
    <w:uiPriority w:val="21"/>
    <w:qFormat/>
    <w:rsid w:val="006C5D36"/>
    <w:rPr>
      <w:i/>
      <w:iCs/>
      <w:color w:val="0F4761" w:themeColor="accent1" w:themeShade="BF"/>
    </w:rPr>
  </w:style>
  <w:style w:type="paragraph" w:styleId="IntenseQuote">
    <w:name w:val="Intense Quote"/>
    <w:basedOn w:val="Normal"/>
    <w:next w:val="Normal"/>
    <w:link w:val="IntenseQuoteChar"/>
    <w:uiPriority w:val="30"/>
    <w:qFormat/>
    <w:rsid w:val="006C5D3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AE"/>
      <w14:ligatures w14:val="standardContextual"/>
    </w:rPr>
  </w:style>
  <w:style w:type="character" w:customStyle="1" w:styleId="IntenseQuoteChar">
    <w:name w:val="Intense Quote Char"/>
    <w:basedOn w:val="DefaultParagraphFont"/>
    <w:link w:val="IntenseQuote"/>
    <w:uiPriority w:val="30"/>
    <w:rsid w:val="006C5D36"/>
    <w:rPr>
      <w:i/>
      <w:iCs/>
      <w:color w:val="0F4761" w:themeColor="accent1" w:themeShade="BF"/>
    </w:rPr>
  </w:style>
  <w:style w:type="character" w:styleId="IntenseReference">
    <w:name w:val="Intense Reference"/>
    <w:basedOn w:val="DefaultParagraphFont"/>
    <w:uiPriority w:val="32"/>
    <w:qFormat/>
    <w:rsid w:val="006C5D36"/>
    <w:rPr>
      <w:b/>
      <w:bCs/>
      <w:smallCaps/>
      <w:color w:val="0F4761" w:themeColor="accent1" w:themeShade="BF"/>
      <w:spacing w:val="5"/>
    </w:rPr>
  </w:style>
  <w:style w:type="character" w:styleId="Hyperlink">
    <w:name w:val="Hyperlink"/>
    <w:basedOn w:val="DefaultParagraphFont"/>
    <w:uiPriority w:val="99"/>
    <w:unhideWhenUsed/>
    <w:rsid w:val="00843ADE"/>
    <w:rPr>
      <w:color w:val="0000FF"/>
      <w:u w:val="single"/>
    </w:rPr>
  </w:style>
  <w:style w:type="paragraph" w:customStyle="1" w:styleId="Default">
    <w:name w:val="Default"/>
    <w:rsid w:val="00843ADE"/>
    <w:pPr>
      <w:autoSpaceDE w:val="0"/>
      <w:autoSpaceDN w:val="0"/>
      <w:adjustRightInd w:val="0"/>
      <w:spacing w:after="0" w:line="240" w:lineRule="auto"/>
    </w:pPr>
    <w:rPr>
      <w:rFonts w:ascii="Arial Narrow" w:hAnsi="Arial Narrow" w:cs="Arial Narrow"/>
      <w:color w:val="000000"/>
      <w:kern w:val="0"/>
      <w:lang w:val="en-US"/>
      <w14:ligatures w14:val="none"/>
    </w:rPr>
  </w:style>
  <w:style w:type="character" w:styleId="CommentReference">
    <w:name w:val="annotation reference"/>
    <w:basedOn w:val="DefaultParagraphFont"/>
    <w:uiPriority w:val="99"/>
    <w:semiHidden/>
    <w:unhideWhenUsed/>
    <w:rsid w:val="00843ADE"/>
    <w:rPr>
      <w:sz w:val="16"/>
      <w:szCs w:val="16"/>
    </w:rPr>
  </w:style>
  <w:style w:type="table" w:customStyle="1" w:styleId="TableGrid1">
    <w:name w:val="Table Grid1"/>
    <w:basedOn w:val="TableNormal"/>
    <w:uiPriority w:val="39"/>
    <w:rsid w:val="00843ADE"/>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43A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843ADE"/>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theme" Target="theme/theme1.xml"/><Relationship Id="rId5" Type="http://schemas.openxmlformats.org/officeDocument/2006/relationships/diagramLayout" Target="diagrams/layout1.xml"/><Relationship Id="rId10"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AE7B1B-2A6E-4801-A0EB-1EC5156CE40C}" type="doc">
      <dgm:prSet loTypeId="urn:microsoft.com/office/officeart/2005/8/layout/process2" loCatId="process" qsTypeId="urn:microsoft.com/office/officeart/2005/8/quickstyle/simple1" qsCatId="simple" csTypeId="urn:microsoft.com/office/officeart/2005/8/colors/accent1_2" csCatId="accent1" phldr="1"/>
      <dgm:spPr/>
    </dgm:pt>
    <dgm:pt modelId="{89CFBC19-08C9-40F1-A2F0-2C6DA6A2375E}">
      <dgm:prSet phldrT="[Text]" custT="1"/>
      <dgm:spPr>
        <a:solidFill>
          <a:schemeClr val="accent6">
            <a:lumMod val="60000"/>
            <a:lumOff val="40000"/>
          </a:schemeClr>
        </a:solidFill>
        <a:ln>
          <a:solidFill>
            <a:schemeClr val="tx1"/>
          </a:solidFill>
        </a:ln>
      </dgm:spPr>
      <dgm:t>
        <a:bodyPr/>
        <a:lstStyle/>
        <a:p>
          <a:pPr>
            <a:buNone/>
          </a:pPr>
          <a:r>
            <a:rPr lang="en-US" sz="900"/>
            <a:t>This study compared the influence of the single-cone and cold lateral compaction obturation techniques on the retrievability of NeoSEALER Flo bioceramic sealer.</a:t>
          </a:r>
          <a:endParaRPr lang="en-US" sz="900" b="1">
            <a:solidFill>
              <a:sysClr val="windowText" lastClr="000000"/>
            </a:solidFill>
            <a:latin typeface="Cambria" panose="02040503050406030204" pitchFamily="18" charset="0"/>
            <a:ea typeface="Cambria" panose="02040503050406030204" pitchFamily="18" charset="0"/>
          </a:endParaRPr>
        </a:p>
      </dgm:t>
    </dgm:pt>
    <dgm:pt modelId="{86E89AB0-2437-46BF-9E8B-43AC58E35891}" type="parTrans" cxnId="{864F50D9-0471-4F2F-A645-3E6AA6F0A679}">
      <dgm:prSet/>
      <dgm:spPr/>
      <dgm:t>
        <a:bodyPr/>
        <a:lstStyle/>
        <a:p>
          <a:endParaRPr lang="en-US"/>
        </a:p>
      </dgm:t>
    </dgm:pt>
    <dgm:pt modelId="{797F4678-DAB5-4A89-8E5F-183B93901ECA}" type="sibTrans" cxnId="{864F50D9-0471-4F2F-A645-3E6AA6F0A679}">
      <dgm:prSet/>
      <dgm:spPr>
        <a:solidFill>
          <a:srgbClr val="C00000"/>
        </a:solidFill>
      </dgm:spPr>
      <dgm:t>
        <a:bodyPr/>
        <a:lstStyle/>
        <a:p>
          <a:endParaRPr lang="en-US"/>
        </a:p>
      </dgm:t>
    </dgm:pt>
    <dgm:pt modelId="{EAD8216F-702E-487F-AFD5-108EB3F451C2}">
      <dgm:prSet phldrT="[Text]" custT="1"/>
      <dgm:spPr>
        <a:solidFill>
          <a:schemeClr val="bg1"/>
        </a:solidFill>
        <a:ln>
          <a:solidFill>
            <a:schemeClr val="tx1"/>
          </a:solidFill>
        </a:ln>
      </dgm:spPr>
      <dgm:t>
        <a:bodyPr/>
        <a:lstStyle/>
        <a:p>
          <a:r>
            <a:rPr lang="en-US" sz="900">
              <a:solidFill>
                <a:sysClr val="windowText" lastClr="000000"/>
              </a:solidFill>
            </a:rPr>
            <a:t>This study compared the influence of the single-cone and cold lateral compaction obturation techniques on the retrievability of NeoSEALER Flo bioceramic sealer.</a:t>
          </a:r>
          <a:endParaRPr lang="en-US" sz="900" b="1">
            <a:solidFill>
              <a:sysClr val="windowText" lastClr="000000"/>
            </a:solidFill>
            <a:latin typeface="Cambria" panose="02040503050406030204" pitchFamily="18" charset="0"/>
            <a:ea typeface="Cambria" panose="02040503050406030204" pitchFamily="18" charset="0"/>
          </a:endParaRPr>
        </a:p>
      </dgm:t>
    </dgm:pt>
    <dgm:pt modelId="{9E7399F8-3BD4-4031-A40D-42BF88676529}" type="parTrans" cxnId="{ECE5A8F4-DB32-447E-A62D-10F50370BDCB}">
      <dgm:prSet/>
      <dgm:spPr/>
      <dgm:t>
        <a:bodyPr/>
        <a:lstStyle/>
        <a:p>
          <a:endParaRPr lang="en-US"/>
        </a:p>
      </dgm:t>
    </dgm:pt>
    <dgm:pt modelId="{9A1698F7-B213-4135-A53E-A15DBCF0759B}" type="sibTrans" cxnId="{ECE5A8F4-DB32-447E-A62D-10F50370BDCB}">
      <dgm:prSet/>
      <dgm:spPr>
        <a:solidFill>
          <a:srgbClr val="C00000"/>
        </a:solidFill>
      </dgm:spPr>
      <dgm:t>
        <a:bodyPr/>
        <a:lstStyle/>
        <a:p>
          <a:endParaRPr lang="en-US"/>
        </a:p>
      </dgm:t>
    </dgm:pt>
    <dgm:pt modelId="{9A0F5C27-68FA-4002-8C59-ABD6AF75064A}">
      <dgm:prSet phldrT="[Text]" custT="1"/>
      <dgm:spPr>
        <a:solidFill>
          <a:schemeClr val="accent6">
            <a:lumMod val="60000"/>
            <a:lumOff val="40000"/>
          </a:schemeClr>
        </a:solidFill>
        <a:ln>
          <a:solidFill>
            <a:schemeClr val="tx1"/>
          </a:solidFill>
        </a:ln>
      </dgm:spPr>
      <dgm:t>
        <a:bodyPr/>
        <a:lstStyle/>
        <a:p>
          <a:r>
            <a:rPr lang="en-GB" sz="900"/>
            <a:t>This study was approved by the local institutional review board with registration no. MIU-IRB-2122. </a:t>
          </a:r>
          <a:endParaRPr lang="en-US" sz="900" b="1">
            <a:solidFill>
              <a:sysClr val="windowText" lastClr="000000"/>
            </a:solidFill>
            <a:latin typeface="Cambria" panose="02040503050406030204" pitchFamily="18" charset="0"/>
            <a:ea typeface="Cambria" panose="02040503050406030204" pitchFamily="18" charset="0"/>
          </a:endParaRPr>
        </a:p>
      </dgm:t>
    </dgm:pt>
    <dgm:pt modelId="{22DBF1C7-0E6D-4A3F-A428-F26B087E1B9C}" type="parTrans" cxnId="{65B1F5A9-395E-4E1E-8ADB-B4890B4C79B9}">
      <dgm:prSet/>
      <dgm:spPr/>
      <dgm:t>
        <a:bodyPr/>
        <a:lstStyle/>
        <a:p>
          <a:endParaRPr lang="en-US"/>
        </a:p>
      </dgm:t>
    </dgm:pt>
    <dgm:pt modelId="{2E0D8B81-2D6B-4851-9EDD-BE9AA8CFEF4A}" type="sibTrans" cxnId="{65B1F5A9-395E-4E1E-8ADB-B4890B4C79B9}">
      <dgm:prSet/>
      <dgm:spPr>
        <a:solidFill>
          <a:srgbClr val="C00000"/>
        </a:solidFill>
      </dgm:spPr>
      <dgm:t>
        <a:bodyPr/>
        <a:lstStyle/>
        <a:p>
          <a:endParaRPr lang="en-US"/>
        </a:p>
      </dgm:t>
    </dgm:pt>
    <dgm:pt modelId="{B9857B6C-6A12-43BA-BB60-B5FDBADB7F6D}">
      <dgm:prSet phldrT="[Text]" custT="1"/>
      <dgm:spPr>
        <a:solidFill>
          <a:schemeClr val="bg1"/>
        </a:solidFill>
        <a:ln>
          <a:solidFill>
            <a:schemeClr val="tx1"/>
          </a:solidFill>
        </a:ln>
      </dgm:spPr>
      <dgm:t>
        <a:bodyPr/>
        <a:lstStyle/>
        <a:p>
          <a:r>
            <a:rPr lang="en-US" sz="900">
              <a:solidFill>
                <a:sysClr val="windowText" lastClr="000000"/>
              </a:solidFill>
            </a:rPr>
            <a:t>Single-rooted permanent mandibular premolars </a:t>
          </a:r>
          <a:endParaRPr lang="en-US" sz="900" b="1">
            <a:solidFill>
              <a:sysClr val="windowText" lastClr="000000"/>
            </a:solidFill>
            <a:latin typeface="Cambria" panose="02040503050406030204" pitchFamily="18" charset="0"/>
            <a:ea typeface="Cambria" panose="02040503050406030204" pitchFamily="18" charset="0"/>
          </a:endParaRPr>
        </a:p>
      </dgm:t>
    </dgm:pt>
    <dgm:pt modelId="{5AEE1F4D-91AB-4AEE-904C-0CEE10769DF3}" type="parTrans" cxnId="{EB62AD89-CC76-401E-8EAE-3CBB3A66B25B}">
      <dgm:prSet/>
      <dgm:spPr/>
      <dgm:t>
        <a:bodyPr/>
        <a:lstStyle/>
        <a:p>
          <a:endParaRPr lang="en-US"/>
        </a:p>
      </dgm:t>
    </dgm:pt>
    <dgm:pt modelId="{342E6AE4-572C-447C-A80E-1DC3FB86363D}" type="sibTrans" cxnId="{EB62AD89-CC76-401E-8EAE-3CBB3A66B25B}">
      <dgm:prSet/>
      <dgm:spPr>
        <a:solidFill>
          <a:srgbClr val="C00000"/>
        </a:solidFill>
      </dgm:spPr>
      <dgm:t>
        <a:bodyPr/>
        <a:lstStyle/>
        <a:p>
          <a:endParaRPr lang="en-US"/>
        </a:p>
      </dgm:t>
    </dgm:pt>
    <dgm:pt modelId="{4F6A22A2-82F1-4829-8F14-409B3EEBDA03}">
      <dgm:prSet phldrT="[Text]" custT="1"/>
      <dgm:spPr>
        <a:solidFill>
          <a:schemeClr val="accent6">
            <a:lumMod val="60000"/>
            <a:lumOff val="40000"/>
          </a:schemeClr>
        </a:solidFill>
        <a:ln>
          <a:solidFill>
            <a:schemeClr val="tx1"/>
          </a:solidFill>
        </a:ln>
      </dgm:spPr>
      <dgm:t>
        <a:bodyPr/>
        <a:lstStyle/>
        <a:p>
          <a:r>
            <a:rPr lang="en-US" sz="900"/>
            <a:t>Samples were assigned into two equal groups according to the obturation technique used, single cone obturation and lateral compaction, (n=6)</a:t>
          </a:r>
          <a:endParaRPr lang="en-US" sz="900" b="1">
            <a:solidFill>
              <a:sysClr val="windowText" lastClr="000000"/>
            </a:solidFill>
            <a:latin typeface="Cambria" panose="02040503050406030204" pitchFamily="18" charset="0"/>
            <a:ea typeface="Cambria" panose="02040503050406030204" pitchFamily="18" charset="0"/>
          </a:endParaRPr>
        </a:p>
      </dgm:t>
    </dgm:pt>
    <dgm:pt modelId="{0D96596B-8920-4738-826D-CCAE0C08F209}" type="parTrans" cxnId="{75F6F402-465D-406F-9541-79C851346C63}">
      <dgm:prSet/>
      <dgm:spPr/>
      <dgm:t>
        <a:bodyPr/>
        <a:lstStyle/>
        <a:p>
          <a:endParaRPr lang="en-US"/>
        </a:p>
      </dgm:t>
    </dgm:pt>
    <dgm:pt modelId="{BD5DE701-E382-4362-A665-87A5AA4D2C61}" type="sibTrans" cxnId="{75F6F402-465D-406F-9541-79C851346C63}">
      <dgm:prSet/>
      <dgm:spPr>
        <a:solidFill>
          <a:srgbClr val="C00000"/>
        </a:solidFill>
      </dgm:spPr>
      <dgm:t>
        <a:bodyPr/>
        <a:lstStyle/>
        <a:p>
          <a:endParaRPr lang="en-US"/>
        </a:p>
      </dgm:t>
    </dgm:pt>
    <dgm:pt modelId="{938BBC2B-7E1B-449C-91C6-2BE9D41C60FA}">
      <dgm:prSet phldrT="[Text]" custT="1"/>
      <dgm:spPr>
        <a:solidFill>
          <a:schemeClr val="bg1"/>
        </a:solidFill>
        <a:ln>
          <a:solidFill>
            <a:schemeClr val="tx1"/>
          </a:solidFill>
        </a:ln>
      </dgm:spPr>
      <dgm:t>
        <a:bodyPr/>
        <a:lstStyle/>
        <a:p>
          <a:r>
            <a:rPr lang="en-US" sz="900" b="1">
              <a:solidFill>
                <a:schemeClr val="tx1"/>
              </a:solidFill>
              <a:latin typeface="Cambria" panose="02040503050406030204" pitchFamily="18" charset="0"/>
              <a:ea typeface="Cambria" panose="02040503050406030204" pitchFamily="18" charset="0"/>
            </a:rPr>
            <a:t>Retreatment time and remnants of filling material were evaluated</a:t>
          </a:r>
        </a:p>
      </dgm:t>
    </dgm:pt>
    <dgm:pt modelId="{A5D03461-B776-4636-9E20-AB67649C483C}" type="parTrans" cxnId="{C200D42D-E6CA-4BCD-99B6-E7A5CF82BFC3}">
      <dgm:prSet/>
      <dgm:spPr/>
      <dgm:t>
        <a:bodyPr/>
        <a:lstStyle/>
        <a:p>
          <a:endParaRPr lang="en-US"/>
        </a:p>
      </dgm:t>
    </dgm:pt>
    <dgm:pt modelId="{37D28E65-2B40-4CFB-B95C-499C0C82BAF6}" type="sibTrans" cxnId="{C200D42D-E6CA-4BCD-99B6-E7A5CF82BFC3}">
      <dgm:prSet/>
      <dgm:spPr>
        <a:solidFill>
          <a:srgbClr val="C00000"/>
        </a:solidFill>
      </dgm:spPr>
      <dgm:t>
        <a:bodyPr/>
        <a:lstStyle/>
        <a:p>
          <a:endParaRPr lang="en-US"/>
        </a:p>
      </dgm:t>
    </dgm:pt>
    <dgm:pt modelId="{5970A6E3-19EF-4D45-93B0-8FFBE9B0FF04}">
      <dgm:prSet phldrT="[Text]" custT="1"/>
      <dgm:spPr>
        <a:solidFill>
          <a:schemeClr val="accent6">
            <a:lumMod val="60000"/>
            <a:lumOff val="40000"/>
          </a:schemeClr>
        </a:solidFill>
        <a:ln>
          <a:solidFill>
            <a:schemeClr val="tx1"/>
          </a:solidFill>
        </a:ln>
      </dgm:spPr>
      <dgm:t>
        <a:bodyPr/>
        <a:lstStyle/>
        <a:p>
          <a:r>
            <a:rPr lang="en-GB" sz="900" b="1">
              <a:solidFill>
                <a:sysClr val="windowText" lastClr="000000"/>
              </a:solidFill>
              <a:latin typeface="Cambria" panose="02040503050406030204" pitchFamily="18" charset="0"/>
            </a:rPr>
            <a:t>Stop watch and steriomicroscope</a:t>
          </a:r>
          <a:endParaRPr lang="en-US" sz="900" b="1">
            <a:solidFill>
              <a:sysClr val="windowText" lastClr="000000"/>
            </a:solidFill>
            <a:latin typeface="Cambria" panose="02040503050406030204" pitchFamily="18" charset="0"/>
            <a:ea typeface="Cambria" panose="02040503050406030204" pitchFamily="18" charset="0"/>
          </a:endParaRPr>
        </a:p>
      </dgm:t>
    </dgm:pt>
    <dgm:pt modelId="{7C25EB63-A187-4DEE-850F-EA5C75C419DC}" type="parTrans" cxnId="{C1A85F05-22CA-4683-AE84-0581785CC266}">
      <dgm:prSet/>
      <dgm:spPr/>
      <dgm:t>
        <a:bodyPr/>
        <a:lstStyle/>
        <a:p>
          <a:endParaRPr lang="en-US"/>
        </a:p>
      </dgm:t>
    </dgm:pt>
    <dgm:pt modelId="{3E53770D-3038-48E8-A9D2-A6DFC0666668}" type="sibTrans" cxnId="{C1A85F05-22CA-4683-AE84-0581785CC266}">
      <dgm:prSet/>
      <dgm:spPr>
        <a:solidFill>
          <a:srgbClr val="C00000"/>
        </a:solidFill>
      </dgm:spPr>
      <dgm:t>
        <a:bodyPr/>
        <a:lstStyle/>
        <a:p>
          <a:endParaRPr lang="en-US"/>
        </a:p>
      </dgm:t>
    </dgm:pt>
    <dgm:pt modelId="{DFD595CD-F55D-43FC-A64D-3234711C862E}">
      <dgm:prSet phldrT="[Text]" custT="1"/>
      <dgm:spPr>
        <a:solidFill>
          <a:schemeClr val="bg1"/>
        </a:solidFill>
        <a:ln>
          <a:solidFill>
            <a:schemeClr val="tx1"/>
          </a:solidFill>
        </a:ln>
      </dgm:spPr>
      <dgm:t>
        <a:bodyPr/>
        <a:lstStyle/>
        <a:p>
          <a:r>
            <a:rPr lang="en-US" sz="900">
              <a:solidFill>
                <a:sysClr val="windowText" lastClr="000000"/>
              </a:solidFill>
            </a:rPr>
            <a:t>The cold lateral compaction technique showed more remnants at all root levels, which was statistically significant at the middle and apical root levels. The retreatment time did not differ between groups. </a:t>
          </a:r>
          <a:endParaRPr lang="en-US" sz="900" b="1">
            <a:solidFill>
              <a:sysClr val="windowText" lastClr="000000"/>
            </a:solidFill>
            <a:latin typeface="Cambria" panose="02040503050406030204" pitchFamily="18" charset="0"/>
            <a:ea typeface="Cambria" panose="02040503050406030204" pitchFamily="18" charset="0"/>
          </a:endParaRPr>
        </a:p>
      </dgm:t>
    </dgm:pt>
    <dgm:pt modelId="{F0023E8A-EAED-4D24-8F65-A5E74A7D1F07}" type="parTrans" cxnId="{AB1ADA3E-3075-41C1-A93A-093A2318D3CC}">
      <dgm:prSet/>
      <dgm:spPr/>
      <dgm:t>
        <a:bodyPr/>
        <a:lstStyle/>
        <a:p>
          <a:endParaRPr lang="en-US"/>
        </a:p>
      </dgm:t>
    </dgm:pt>
    <dgm:pt modelId="{F9D0416C-50BA-49E3-925C-51D33B80AD85}" type="sibTrans" cxnId="{AB1ADA3E-3075-41C1-A93A-093A2318D3CC}">
      <dgm:prSet/>
      <dgm:spPr>
        <a:solidFill>
          <a:srgbClr val="C00000"/>
        </a:solidFill>
      </dgm:spPr>
      <dgm:t>
        <a:bodyPr/>
        <a:lstStyle/>
        <a:p>
          <a:endParaRPr lang="en-US"/>
        </a:p>
      </dgm:t>
    </dgm:pt>
    <dgm:pt modelId="{2B99222E-7587-4E0D-91CF-38ACB0F59BDA}">
      <dgm:prSet phldrT="[Text]" custT="1"/>
      <dgm:spPr>
        <a:solidFill>
          <a:schemeClr val="accent6">
            <a:lumMod val="60000"/>
            <a:lumOff val="40000"/>
          </a:schemeClr>
        </a:solidFill>
        <a:ln>
          <a:solidFill>
            <a:schemeClr val="tx1"/>
          </a:solidFill>
        </a:ln>
      </dgm:spPr>
      <dgm:t>
        <a:bodyPr/>
        <a:lstStyle/>
        <a:p>
          <a:r>
            <a:rPr lang="en-US" sz="900"/>
            <a:t>Within the limitations of this ex vivo study, the findings suggest that the single cone obturation technique with bioceramic sealer may allow easier and more effective retrievability.</a:t>
          </a:r>
          <a:endParaRPr lang="en-US" sz="900">
            <a:solidFill>
              <a:sysClr val="windowText" lastClr="000000"/>
            </a:solidFill>
            <a:latin typeface="Cambria" panose="02040503050406030204" pitchFamily="18" charset="0"/>
            <a:ea typeface="Cambria" panose="02040503050406030204" pitchFamily="18" charset="0"/>
          </a:endParaRPr>
        </a:p>
      </dgm:t>
    </dgm:pt>
    <dgm:pt modelId="{8A2A1B41-AF48-43FA-91BF-8AF01C197756}" type="parTrans" cxnId="{53C1485C-6C38-484D-B90E-4048457DFEA4}">
      <dgm:prSet/>
      <dgm:spPr/>
      <dgm:t>
        <a:bodyPr/>
        <a:lstStyle/>
        <a:p>
          <a:endParaRPr lang="en-US"/>
        </a:p>
      </dgm:t>
    </dgm:pt>
    <dgm:pt modelId="{991F6BBA-70A9-4C6E-9F95-6449162A5BF4}" type="sibTrans" cxnId="{53C1485C-6C38-484D-B90E-4048457DFEA4}">
      <dgm:prSet/>
      <dgm:spPr>
        <a:solidFill>
          <a:srgbClr val="C00000"/>
        </a:solidFill>
      </dgm:spPr>
      <dgm:t>
        <a:bodyPr/>
        <a:lstStyle/>
        <a:p>
          <a:endParaRPr lang="en-US"/>
        </a:p>
      </dgm:t>
    </dgm:pt>
    <dgm:pt modelId="{E99E11E6-7831-4A4E-A5D7-183B6D29E065}">
      <dgm:prSet phldrT="[Text]" custT="1"/>
      <dgm:spPr>
        <a:solidFill>
          <a:schemeClr val="bg1"/>
        </a:solidFill>
        <a:ln>
          <a:solidFill>
            <a:schemeClr val="tx1"/>
          </a:solidFill>
        </a:ln>
      </dgm:spPr>
      <dgm:t>
        <a:bodyPr/>
        <a:lstStyle/>
        <a:p>
          <a:r>
            <a:rPr lang="en-GB" sz="900" b="1">
              <a:solidFill>
                <a:schemeClr val="tx1"/>
              </a:solidFill>
              <a:latin typeface="Cambria" panose="02040503050406030204" pitchFamily="18" charset="0"/>
            </a:rPr>
            <a:t>No Funding</a:t>
          </a:r>
          <a:endParaRPr lang="en-US" sz="900" b="1">
            <a:solidFill>
              <a:schemeClr val="tx1"/>
            </a:solidFill>
            <a:latin typeface="Cambria" panose="02040503050406030204" pitchFamily="18" charset="0"/>
            <a:ea typeface="Cambria" panose="02040503050406030204" pitchFamily="18" charset="0"/>
          </a:endParaRPr>
        </a:p>
      </dgm:t>
    </dgm:pt>
    <dgm:pt modelId="{D602A0ED-1AFB-4B0E-9D3D-191F6DC9A5EF}" type="parTrans" cxnId="{0E408679-A36F-4DD4-B108-71A68453BC3A}">
      <dgm:prSet/>
      <dgm:spPr/>
      <dgm:t>
        <a:bodyPr/>
        <a:lstStyle/>
        <a:p>
          <a:endParaRPr lang="en-US"/>
        </a:p>
      </dgm:t>
    </dgm:pt>
    <dgm:pt modelId="{D9926B12-C352-4345-BB7A-B9E0759E71ED}" type="sibTrans" cxnId="{0E408679-A36F-4DD4-B108-71A68453BC3A}">
      <dgm:prSet/>
      <dgm:spPr>
        <a:solidFill>
          <a:srgbClr val="C00000"/>
        </a:solidFill>
      </dgm:spPr>
      <dgm:t>
        <a:bodyPr/>
        <a:lstStyle/>
        <a:p>
          <a:endParaRPr lang="en-US">
            <a:solidFill>
              <a:srgbClr val="FF0000"/>
            </a:solidFill>
          </a:endParaRPr>
        </a:p>
      </dgm:t>
    </dgm:pt>
    <dgm:pt modelId="{2FB100AB-46D8-412F-8313-2C8A251FFF76}">
      <dgm:prSet phldrT="[Text]" custT="1"/>
      <dgm:spPr>
        <a:solidFill>
          <a:schemeClr val="accent6">
            <a:lumMod val="60000"/>
            <a:lumOff val="40000"/>
          </a:schemeClr>
        </a:solidFill>
        <a:ln>
          <a:solidFill>
            <a:schemeClr val="tx1"/>
          </a:solidFill>
        </a:ln>
      </dgm:spPr>
      <dgm:t>
        <a:bodyPr/>
        <a:lstStyle/>
        <a:p>
          <a:r>
            <a:rPr lang="en-GB" sz="900" b="1">
              <a:solidFill>
                <a:sysClr val="windowText" lastClr="000000"/>
              </a:solidFill>
              <a:latin typeface="Cambria" panose="02040503050406030204" pitchFamily="18" charset="0"/>
            </a:rPr>
            <a:t>CONFLICT OF INTEREST: None</a:t>
          </a:r>
          <a:endParaRPr lang="en-US" sz="900" b="1">
            <a:solidFill>
              <a:sysClr val="windowText" lastClr="000000"/>
            </a:solidFill>
            <a:latin typeface="Cambria" panose="02040503050406030204" pitchFamily="18" charset="0"/>
            <a:ea typeface="Cambria" panose="02040503050406030204" pitchFamily="18" charset="0"/>
          </a:endParaRPr>
        </a:p>
      </dgm:t>
    </dgm:pt>
    <dgm:pt modelId="{360C805A-8E29-4FCF-91C2-53FAE296E92E}" type="parTrans" cxnId="{4BD1AA01-08C0-4A36-8A10-0728078A8113}">
      <dgm:prSet/>
      <dgm:spPr/>
      <dgm:t>
        <a:bodyPr/>
        <a:lstStyle/>
        <a:p>
          <a:endParaRPr lang="en-US"/>
        </a:p>
      </dgm:t>
    </dgm:pt>
    <dgm:pt modelId="{A2C1B24D-A7BA-49EB-9206-E5A88852DFDE}" type="sibTrans" cxnId="{4BD1AA01-08C0-4A36-8A10-0728078A8113}">
      <dgm:prSet/>
      <dgm:spPr>
        <a:solidFill>
          <a:srgbClr val="C00000"/>
        </a:solidFill>
      </dgm:spPr>
      <dgm:t>
        <a:bodyPr/>
        <a:lstStyle/>
        <a:p>
          <a:endParaRPr lang="en-US"/>
        </a:p>
      </dgm:t>
    </dgm:pt>
    <dgm:pt modelId="{2D0D12BD-55F0-4E0E-B355-37810D3DBA41}" type="pres">
      <dgm:prSet presAssocID="{0DAE7B1B-2A6E-4801-A0EB-1EC5156CE40C}" presName="linearFlow" presStyleCnt="0">
        <dgm:presLayoutVars>
          <dgm:resizeHandles val="exact"/>
        </dgm:presLayoutVars>
      </dgm:prSet>
      <dgm:spPr/>
    </dgm:pt>
    <dgm:pt modelId="{68BFF9F1-F4F1-4694-B513-6A4AC969DB97}" type="pres">
      <dgm:prSet presAssocID="{89CFBC19-08C9-40F1-A2F0-2C6DA6A2375E}" presName="node" presStyleLbl="node1" presStyleIdx="0" presStyleCnt="11" custScaleX="283941">
        <dgm:presLayoutVars>
          <dgm:bulletEnabled val="1"/>
        </dgm:presLayoutVars>
      </dgm:prSet>
      <dgm:spPr/>
    </dgm:pt>
    <dgm:pt modelId="{A008AFAD-8763-43CC-B4B0-800AC61B707E}" type="pres">
      <dgm:prSet presAssocID="{797F4678-DAB5-4A89-8E5F-183B93901ECA}" presName="sibTrans" presStyleLbl="sibTrans2D1" presStyleIdx="0" presStyleCnt="10" custScaleX="204084"/>
      <dgm:spPr/>
    </dgm:pt>
    <dgm:pt modelId="{A3335E7F-547E-4AE8-8886-AC60F8BD53D4}" type="pres">
      <dgm:prSet presAssocID="{797F4678-DAB5-4A89-8E5F-183B93901ECA}" presName="connectorText" presStyleLbl="sibTrans2D1" presStyleIdx="0" presStyleCnt="10"/>
      <dgm:spPr/>
    </dgm:pt>
    <dgm:pt modelId="{26005CB1-ED9B-4DCF-8922-599240D7EA4D}" type="pres">
      <dgm:prSet presAssocID="{EAD8216F-702E-487F-AFD5-108EB3F451C2}" presName="node" presStyleLbl="node1" presStyleIdx="1" presStyleCnt="11" custScaleX="204085" custLinFactNeighborX="-400" custLinFactNeighborY="9591">
        <dgm:presLayoutVars>
          <dgm:bulletEnabled val="1"/>
        </dgm:presLayoutVars>
      </dgm:prSet>
      <dgm:spPr/>
    </dgm:pt>
    <dgm:pt modelId="{A3A86A7B-3928-4EC9-B4E3-35E18B24ADFD}" type="pres">
      <dgm:prSet presAssocID="{9A1698F7-B213-4135-A53E-A15DBCF0759B}" presName="sibTrans" presStyleLbl="sibTrans2D1" presStyleIdx="1" presStyleCnt="10" custScaleX="204084"/>
      <dgm:spPr/>
    </dgm:pt>
    <dgm:pt modelId="{DCAAC258-48CC-474F-A881-B930A497F7AC}" type="pres">
      <dgm:prSet presAssocID="{9A1698F7-B213-4135-A53E-A15DBCF0759B}" presName="connectorText" presStyleLbl="sibTrans2D1" presStyleIdx="1" presStyleCnt="10"/>
      <dgm:spPr/>
    </dgm:pt>
    <dgm:pt modelId="{7C9A11F9-3BCA-44DF-8A46-5EBEC8D5CACF}" type="pres">
      <dgm:prSet presAssocID="{9A0F5C27-68FA-4002-8C59-ABD6AF75064A}" presName="node" presStyleLbl="node1" presStyleIdx="2" presStyleCnt="11" custScaleX="277423" custScaleY="125363">
        <dgm:presLayoutVars>
          <dgm:bulletEnabled val="1"/>
        </dgm:presLayoutVars>
      </dgm:prSet>
      <dgm:spPr/>
    </dgm:pt>
    <dgm:pt modelId="{FB1AA4B2-9C96-4AE3-B188-EF636297C157}" type="pres">
      <dgm:prSet presAssocID="{2E0D8B81-2D6B-4851-9EDD-BE9AA8CFEF4A}" presName="sibTrans" presStyleLbl="sibTrans2D1" presStyleIdx="2" presStyleCnt="10" custScaleX="204084"/>
      <dgm:spPr/>
    </dgm:pt>
    <dgm:pt modelId="{385D2F90-4151-47EA-A54E-DD3E788ABCF3}" type="pres">
      <dgm:prSet presAssocID="{2E0D8B81-2D6B-4851-9EDD-BE9AA8CFEF4A}" presName="connectorText" presStyleLbl="sibTrans2D1" presStyleIdx="2" presStyleCnt="10"/>
      <dgm:spPr/>
    </dgm:pt>
    <dgm:pt modelId="{5361DEA8-8F33-45AA-A45C-E6095E23C596}" type="pres">
      <dgm:prSet presAssocID="{B9857B6C-6A12-43BA-BB60-B5FDBADB7F6D}" presName="node" presStyleLbl="node1" presStyleIdx="3" presStyleCnt="11" custScaleX="217678">
        <dgm:presLayoutVars>
          <dgm:bulletEnabled val="1"/>
        </dgm:presLayoutVars>
      </dgm:prSet>
      <dgm:spPr/>
    </dgm:pt>
    <dgm:pt modelId="{E3103755-1C26-4A57-A685-E184B7BAAEC6}" type="pres">
      <dgm:prSet presAssocID="{342E6AE4-572C-447C-A80E-1DC3FB86363D}" presName="sibTrans" presStyleLbl="sibTrans2D1" presStyleIdx="3" presStyleCnt="10" custScaleX="204084"/>
      <dgm:spPr/>
    </dgm:pt>
    <dgm:pt modelId="{B5AD58BE-9AFD-4A30-9096-FF72DED42C0D}" type="pres">
      <dgm:prSet presAssocID="{342E6AE4-572C-447C-A80E-1DC3FB86363D}" presName="connectorText" presStyleLbl="sibTrans2D1" presStyleIdx="3" presStyleCnt="10"/>
      <dgm:spPr/>
    </dgm:pt>
    <dgm:pt modelId="{B2BD32B6-06D4-49FB-B2C7-E29A04AF2662}" type="pres">
      <dgm:prSet presAssocID="{4F6A22A2-82F1-4829-8F14-409B3EEBDA03}" presName="node" presStyleLbl="node1" presStyleIdx="4" presStyleCnt="11" custScaleX="295890" custScaleY="266241">
        <dgm:presLayoutVars>
          <dgm:bulletEnabled val="1"/>
        </dgm:presLayoutVars>
      </dgm:prSet>
      <dgm:spPr/>
    </dgm:pt>
    <dgm:pt modelId="{E7B7DF1D-17EE-4809-8C96-EAE428ABCC01}" type="pres">
      <dgm:prSet presAssocID="{BD5DE701-E382-4362-A665-87A5AA4D2C61}" presName="sibTrans" presStyleLbl="sibTrans2D1" presStyleIdx="4" presStyleCnt="10" custScaleX="204084"/>
      <dgm:spPr/>
    </dgm:pt>
    <dgm:pt modelId="{AC3E57F2-1702-45BC-AC89-5B10942BC0C1}" type="pres">
      <dgm:prSet presAssocID="{BD5DE701-E382-4362-A665-87A5AA4D2C61}" presName="connectorText" presStyleLbl="sibTrans2D1" presStyleIdx="4" presStyleCnt="10"/>
      <dgm:spPr/>
    </dgm:pt>
    <dgm:pt modelId="{10060258-2D45-46BC-B9C1-22A6BB16FC91}" type="pres">
      <dgm:prSet presAssocID="{938BBC2B-7E1B-449C-91C6-2BE9D41C60FA}" presName="node" presStyleLbl="node1" presStyleIdx="5" presStyleCnt="11" custScaleX="294803" custScaleY="150781">
        <dgm:presLayoutVars>
          <dgm:bulletEnabled val="1"/>
        </dgm:presLayoutVars>
      </dgm:prSet>
      <dgm:spPr/>
    </dgm:pt>
    <dgm:pt modelId="{9D25709D-7870-4803-AD9B-464969BC4CF9}" type="pres">
      <dgm:prSet presAssocID="{37D28E65-2B40-4CFB-B95C-499C0C82BAF6}" presName="sibTrans" presStyleLbl="sibTrans2D1" presStyleIdx="5" presStyleCnt="10" custScaleX="204084"/>
      <dgm:spPr/>
    </dgm:pt>
    <dgm:pt modelId="{F891BC69-6477-40F5-9490-F5AC1D704417}" type="pres">
      <dgm:prSet presAssocID="{37D28E65-2B40-4CFB-B95C-499C0C82BAF6}" presName="connectorText" presStyleLbl="sibTrans2D1" presStyleIdx="5" presStyleCnt="10"/>
      <dgm:spPr/>
    </dgm:pt>
    <dgm:pt modelId="{DF7DE8B9-456E-4DBB-A524-19A9C2A2B689}" type="pres">
      <dgm:prSet presAssocID="{5970A6E3-19EF-4D45-93B0-8FFBE9B0FF04}" presName="node" presStyleLbl="node1" presStyleIdx="6" presStyleCnt="11" custScaleX="267646" custScaleY="129966">
        <dgm:presLayoutVars>
          <dgm:bulletEnabled val="1"/>
        </dgm:presLayoutVars>
      </dgm:prSet>
      <dgm:spPr/>
    </dgm:pt>
    <dgm:pt modelId="{6341ED82-6A38-4D06-96B8-ACB06385D731}" type="pres">
      <dgm:prSet presAssocID="{3E53770D-3038-48E8-A9D2-A6DFC0666668}" presName="sibTrans" presStyleLbl="sibTrans2D1" presStyleIdx="6" presStyleCnt="10" custScaleX="204084"/>
      <dgm:spPr/>
    </dgm:pt>
    <dgm:pt modelId="{50DE77EA-0F69-467F-AB25-BB04DFBE325A}" type="pres">
      <dgm:prSet presAssocID="{3E53770D-3038-48E8-A9D2-A6DFC0666668}" presName="connectorText" presStyleLbl="sibTrans2D1" presStyleIdx="6" presStyleCnt="10"/>
      <dgm:spPr/>
    </dgm:pt>
    <dgm:pt modelId="{D8C7C523-BDE1-4C9E-BF47-FCC96FF997A7}" type="pres">
      <dgm:prSet presAssocID="{DFD595CD-F55D-43FC-A64D-3234711C862E}" presName="node" presStyleLbl="node1" presStyleIdx="7" presStyleCnt="11" custScaleX="253356">
        <dgm:presLayoutVars>
          <dgm:bulletEnabled val="1"/>
        </dgm:presLayoutVars>
      </dgm:prSet>
      <dgm:spPr/>
    </dgm:pt>
    <dgm:pt modelId="{5598922E-29D5-41A2-9C83-C9EF6701164C}" type="pres">
      <dgm:prSet presAssocID="{F9D0416C-50BA-49E3-925C-51D33B80AD85}" presName="sibTrans" presStyleLbl="sibTrans2D1" presStyleIdx="7" presStyleCnt="10" custScaleX="204084"/>
      <dgm:spPr/>
    </dgm:pt>
    <dgm:pt modelId="{54C5B390-E165-4636-BEAF-C377320848DE}" type="pres">
      <dgm:prSet presAssocID="{F9D0416C-50BA-49E3-925C-51D33B80AD85}" presName="connectorText" presStyleLbl="sibTrans2D1" presStyleIdx="7" presStyleCnt="10"/>
      <dgm:spPr/>
    </dgm:pt>
    <dgm:pt modelId="{4EE815E4-5B8D-4EA0-B282-4EBF2A247396}" type="pres">
      <dgm:prSet presAssocID="{2B99222E-7587-4E0D-91CF-38ACB0F59BDA}" presName="node" presStyleLbl="node1" presStyleIdx="8" presStyleCnt="11" custScaleX="204085" custLinFactNeighborX="316" custLinFactNeighborY="-33481">
        <dgm:presLayoutVars>
          <dgm:bulletEnabled val="1"/>
        </dgm:presLayoutVars>
      </dgm:prSet>
      <dgm:spPr/>
    </dgm:pt>
    <dgm:pt modelId="{2247C727-AF64-4154-A771-D6F7AB767477}" type="pres">
      <dgm:prSet presAssocID="{991F6BBA-70A9-4C6E-9F95-6449162A5BF4}" presName="sibTrans" presStyleLbl="sibTrans2D1" presStyleIdx="8" presStyleCnt="10" custScaleX="204084"/>
      <dgm:spPr/>
    </dgm:pt>
    <dgm:pt modelId="{0FBFAF1A-8EF9-4B29-AFA6-4B9C272BD615}" type="pres">
      <dgm:prSet presAssocID="{991F6BBA-70A9-4C6E-9F95-6449162A5BF4}" presName="connectorText" presStyleLbl="sibTrans2D1" presStyleIdx="8" presStyleCnt="10"/>
      <dgm:spPr/>
    </dgm:pt>
    <dgm:pt modelId="{7FA8F34A-701F-4935-B4AA-2F677899D5E2}" type="pres">
      <dgm:prSet presAssocID="{E99E11E6-7831-4A4E-A5D7-183B6D29E065}" presName="node" presStyleLbl="node1" presStyleIdx="9" presStyleCnt="11" custScaleX="204085" custScaleY="75023">
        <dgm:presLayoutVars>
          <dgm:bulletEnabled val="1"/>
        </dgm:presLayoutVars>
      </dgm:prSet>
      <dgm:spPr/>
    </dgm:pt>
    <dgm:pt modelId="{8A6F2504-C598-4533-8C97-297371AE6B44}" type="pres">
      <dgm:prSet presAssocID="{D9926B12-C352-4345-BB7A-B9E0759E71ED}" presName="sibTrans" presStyleLbl="sibTrans2D1" presStyleIdx="9" presStyleCnt="10" custScaleX="204084"/>
      <dgm:spPr/>
    </dgm:pt>
    <dgm:pt modelId="{C64A363D-02CB-4782-AA49-D98C160F7237}" type="pres">
      <dgm:prSet presAssocID="{D9926B12-C352-4345-BB7A-B9E0759E71ED}" presName="connectorText" presStyleLbl="sibTrans2D1" presStyleIdx="9" presStyleCnt="10"/>
      <dgm:spPr/>
    </dgm:pt>
    <dgm:pt modelId="{3DA5F195-E5E8-44F0-AFF2-2C65B2D298D9}" type="pres">
      <dgm:prSet presAssocID="{2FB100AB-46D8-412F-8313-2C8A251FFF76}" presName="node" presStyleLbl="node1" presStyleIdx="10" presStyleCnt="11" custScaleX="204085">
        <dgm:presLayoutVars>
          <dgm:bulletEnabled val="1"/>
        </dgm:presLayoutVars>
      </dgm:prSet>
      <dgm:spPr/>
    </dgm:pt>
  </dgm:ptLst>
  <dgm:cxnLst>
    <dgm:cxn modelId="{3BFB3500-8036-4B31-8B98-E8174ACA3E4E}" type="presOf" srcId="{89CFBC19-08C9-40F1-A2F0-2C6DA6A2375E}" destId="{68BFF9F1-F4F1-4694-B513-6A4AC969DB97}" srcOrd="0" destOrd="0" presId="urn:microsoft.com/office/officeart/2005/8/layout/process2"/>
    <dgm:cxn modelId="{678F7101-171B-4060-93B2-7390A0770D1C}" type="presOf" srcId="{BD5DE701-E382-4362-A665-87A5AA4D2C61}" destId="{E7B7DF1D-17EE-4809-8C96-EAE428ABCC01}" srcOrd="0" destOrd="0" presId="urn:microsoft.com/office/officeart/2005/8/layout/process2"/>
    <dgm:cxn modelId="{4BD1AA01-08C0-4A36-8A10-0728078A8113}" srcId="{0DAE7B1B-2A6E-4801-A0EB-1EC5156CE40C}" destId="{2FB100AB-46D8-412F-8313-2C8A251FFF76}" srcOrd="10" destOrd="0" parTransId="{360C805A-8E29-4FCF-91C2-53FAE296E92E}" sibTransId="{A2C1B24D-A7BA-49EB-9206-E5A88852DFDE}"/>
    <dgm:cxn modelId="{75F6F402-465D-406F-9541-79C851346C63}" srcId="{0DAE7B1B-2A6E-4801-A0EB-1EC5156CE40C}" destId="{4F6A22A2-82F1-4829-8F14-409B3EEBDA03}" srcOrd="4" destOrd="0" parTransId="{0D96596B-8920-4738-826D-CCAE0C08F209}" sibTransId="{BD5DE701-E382-4362-A665-87A5AA4D2C61}"/>
    <dgm:cxn modelId="{48E62305-70EA-41A6-8AE6-A6FE7ABE161D}" type="presOf" srcId="{3E53770D-3038-48E8-A9D2-A6DFC0666668}" destId="{6341ED82-6A38-4D06-96B8-ACB06385D731}" srcOrd="0" destOrd="0" presId="urn:microsoft.com/office/officeart/2005/8/layout/process2"/>
    <dgm:cxn modelId="{C1A85F05-22CA-4683-AE84-0581785CC266}" srcId="{0DAE7B1B-2A6E-4801-A0EB-1EC5156CE40C}" destId="{5970A6E3-19EF-4D45-93B0-8FFBE9B0FF04}" srcOrd="6" destOrd="0" parTransId="{7C25EB63-A187-4DEE-850F-EA5C75C419DC}" sibTransId="{3E53770D-3038-48E8-A9D2-A6DFC0666668}"/>
    <dgm:cxn modelId="{29D3FA06-5E2C-46E8-8AA6-FC8B775B26E7}" type="presOf" srcId="{991F6BBA-70A9-4C6E-9F95-6449162A5BF4}" destId="{0FBFAF1A-8EF9-4B29-AFA6-4B9C272BD615}" srcOrd="1" destOrd="0" presId="urn:microsoft.com/office/officeart/2005/8/layout/process2"/>
    <dgm:cxn modelId="{0F8C7A07-9A27-45C1-A1EE-BB6EB0E285C5}" type="presOf" srcId="{37D28E65-2B40-4CFB-B95C-499C0C82BAF6}" destId="{F891BC69-6477-40F5-9490-F5AC1D704417}" srcOrd="1" destOrd="0" presId="urn:microsoft.com/office/officeart/2005/8/layout/process2"/>
    <dgm:cxn modelId="{032E3814-C08C-4DFE-AB09-C6A265CD53C7}" type="presOf" srcId="{991F6BBA-70A9-4C6E-9F95-6449162A5BF4}" destId="{2247C727-AF64-4154-A771-D6F7AB767477}" srcOrd="0" destOrd="0" presId="urn:microsoft.com/office/officeart/2005/8/layout/process2"/>
    <dgm:cxn modelId="{3BABDF22-1262-44C9-A689-5BC8C6D00768}" type="presOf" srcId="{4F6A22A2-82F1-4829-8F14-409B3EEBDA03}" destId="{B2BD32B6-06D4-49FB-B2C7-E29A04AF2662}" srcOrd="0" destOrd="0" presId="urn:microsoft.com/office/officeart/2005/8/layout/process2"/>
    <dgm:cxn modelId="{61DD1D29-B312-4D65-B2F7-BFB3074DFD1C}" type="presOf" srcId="{5970A6E3-19EF-4D45-93B0-8FFBE9B0FF04}" destId="{DF7DE8B9-456E-4DBB-A524-19A9C2A2B689}" srcOrd="0" destOrd="0" presId="urn:microsoft.com/office/officeart/2005/8/layout/process2"/>
    <dgm:cxn modelId="{89C98629-F6EB-4622-B6B2-B7E82AC62C0F}" type="presOf" srcId="{2B99222E-7587-4E0D-91CF-38ACB0F59BDA}" destId="{4EE815E4-5B8D-4EA0-B282-4EBF2A247396}" srcOrd="0" destOrd="0" presId="urn:microsoft.com/office/officeart/2005/8/layout/process2"/>
    <dgm:cxn modelId="{3E07FD29-4382-485D-B5D8-B5B7AFD7D279}" type="presOf" srcId="{2FB100AB-46D8-412F-8313-2C8A251FFF76}" destId="{3DA5F195-E5E8-44F0-AFF2-2C65B2D298D9}" srcOrd="0" destOrd="0" presId="urn:microsoft.com/office/officeart/2005/8/layout/process2"/>
    <dgm:cxn modelId="{C200D42D-E6CA-4BCD-99B6-E7A5CF82BFC3}" srcId="{0DAE7B1B-2A6E-4801-A0EB-1EC5156CE40C}" destId="{938BBC2B-7E1B-449C-91C6-2BE9D41C60FA}" srcOrd="5" destOrd="0" parTransId="{A5D03461-B776-4636-9E20-AB67649C483C}" sibTransId="{37D28E65-2B40-4CFB-B95C-499C0C82BAF6}"/>
    <dgm:cxn modelId="{30109F32-C830-40BD-AA5C-1869B0F3C725}" type="presOf" srcId="{938BBC2B-7E1B-449C-91C6-2BE9D41C60FA}" destId="{10060258-2D45-46BC-B9C1-22A6BB16FC91}" srcOrd="0" destOrd="0" presId="urn:microsoft.com/office/officeart/2005/8/layout/process2"/>
    <dgm:cxn modelId="{CD992C3D-5DB6-4288-BE05-152428288E73}" type="presOf" srcId="{342E6AE4-572C-447C-A80E-1DC3FB86363D}" destId="{E3103755-1C26-4A57-A685-E184B7BAAEC6}" srcOrd="0" destOrd="0" presId="urn:microsoft.com/office/officeart/2005/8/layout/process2"/>
    <dgm:cxn modelId="{AB1ADA3E-3075-41C1-A93A-093A2318D3CC}" srcId="{0DAE7B1B-2A6E-4801-A0EB-1EC5156CE40C}" destId="{DFD595CD-F55D-43FC-A64D-3234711C862E}" srcOrd="7" destOrd="0" parTransId="{F0023E8A-EAED-4D24-8F65-A5E74A7D1F07}" sibTransId="{F9D0416C-50BA-49E3-925C-51D33B80AD85}"/>
    <dgm:cxn modelId="{D8EE065C-DFD6-44D7-82B0-AC98F5EF40B8}" type="presOf" srcId="{9A1698F7-B213-4135-A53E-A15DBCF0759B}" destId="{A3A86A7B-3928-4EC9-B4E3-35E18B24ADFD}" srcOrd="0" destOrd="0" presId="urn:microsoft.com/office/officeart/2005/8/layout/process2"/>
    <dgm:cxn modelId="{53C1485C-6C38-484D-B90E-4048457DFEA4}" srcId="{0DAE7B1B-2A6E-4801-A0EB-1EC5156CE40C}" destId="{2B99222E-7587-4E0D-91CF-38ACB0F59BDA}" srcOrd="8" destOrd="0" parTransId="{8A2A1B41-AF48-43FA-91BF-8AF01C197756}" sibTransId="{991F6BBA-70A9-4C6E-9F95-6449162A5BF4}"/>
    <dgm:cxn modelId="{AA72E75C-294E-4384-8D55-CAF498B0E067}" type="presOf" srcId="{9A0F5C27-68FA-4002-8C59-ABD6AF75064A}" destId="{7C9A11F9-3BCA-44DF-8A46-5EBEC8D5CACF}" srcOrd="0" destOrd="0" presId="urn:microsoft.com/office/officeart/2005/8/layout/process2"/>
    <dgm:cxn modelId="{26867E42-19C4-4D45-9B2F-CE4ADB52CF8E}" type="presOf" srcId="{BD5DE701-E382-4362-A665-87A5AA4D2C61}" destId="{AC3E57F2-1702-45BC-AC89-5B10942BC0C1}" srcOrd="1" destOrd="0" presId="urn:microsoft.com/office/officeart/2005/8/layout/process2"/>
    <dgm:cxn modelId="{861AAB55-50A1-4B15-A720-5CB690EFDA7E}" type="presOf" srcId="{9A1698F7-B213-4135-A53E-A15DBCF0759B}" destId="{DCAAC258-48CC-474F-A881-B930A497F7AC}" srcOrd="1" destOrd="0" presId="urn:microsoft.com/office/officeart/2005/8/layout/process2"/>
    <dgm:cxn modelId="{CB21CA57-89C9-4CE0-AC59-15D3D6785738}" type="presOf" srcId="{E99E11E6-7831-4A4E-A5D7-183B6D29E065}" destId="{7FA8F34A-701F-4935-B4AA-2F677899D5E2}" srcOrd="0" destOrd="0" presId="urn:microsoft.com/office/officeart/2005/8/layout/process2"/>
    <dgm:cxn modelId="{D54A7D79-B20A-4C5A-A2E7-1805FB03E944}" type="presOf" srcId="{B9857B6C-6A12-43BA-BB60-B5FDBADB7F6D}" destId="{5361DEA8-8F33-45AA-A45C-E6095E23C596}" srcOrd="0" destOrd="0" presId="urn:microsoft.com/office/officeart/2005/8/layout/process2"/>
    <dgm:cxn modelId="{0E408679-A36F-4DD4-B108-71A68453BC3A}" srcId="{0DAE7B1B-2A6E-4801-A0EB-1EC5156CE40C}" destId="{E99E11E6-7831-4A4E-A5D7-183B6D29E065}" srcOrd="9" destOrd="0" parTransId="{D602A0ED-1AFB-4B0E-9D3D-191F6DC9A5EF}" sibTransId="{D9926B12-C352-4345-BB7A-B9E0759E71ED}"/>
    <dgm:cxn modelId="{523BB683-FDBA-40F0-B1B3-FD8B40170393}" type="presOf" srcId="{797F4678-DAB5-4A89-8E5F-183B93901ECA}" destId="{A008AFAD-8763-43CC-B4B0-800AC61B707E}" srcOrd="0" destOrd="0" presId="urn:microsoft.com/office/officeart/2005/8/layout/process2"/>
    <dgm:cxn modelId="{2A1D1F85-CACA-4231-95FC-EB5ED1FA08E6}" type="presOf" srcId="{DFD595CD-F55D-43FC-A64D-3234711C862E}" destId="{D8C7C523-BDE1-4C9E-BF47-FCC96FF997A7}" srcOrd="0" destOrd="0" presId="urn:microsoft.com/office/officeart/2005/8/layout/process2"/>
    <dgm:cxn modelId="{FDA3D886-1A4C-4222-AAC6-BF1A1E2C84AC}" type="presOf" srcId="{F9D0416C-50BA-49E3-925C-51D33B80AD85}" destId="{5598922E-29D5-41A2-9C83-C9EF6701164C}" srcOrd="0" destOrd="0" presId="urn:microsoft.com/office/officeart/2005/8/layout/process2"/>
    <dgm:cxn modelId="{EB62AD89-CC76-401E-8EAE-3CBB3A66B25B}" srcId="{0DAE7B1B-2A6E-4801-A0EB-1EC5156CE40C}" destId="{B9857B6C-6A12-43BA-BB60-B5FDBADB7F6D}" srcOrd="3" destOrd="0" parTransId="{5AEE1F4D-91AB-4AEE-904C-0CEE10769DF3}" sibTransId="{342E6AE4-572C-447C-A80E-1DC3FB86363D}"/>
    <dgm:cxn modelId="{65B1F5A9-395E-4E1E-8ADB-B4890B4C79B9}" srcId="{0DAE7B1B-2A6E-4801-A0EB-1EC5156CE40C}" destId="{9A0F5C27-68FA-4002-8C59-ABD6AF75064A}" srcOrd="2" destOrd="0" parTransId="{22DBF1C7-0E6D-4A3F-A428-F26B087E1B9C}" sibTransId="{2E0D8B81-2D6B-4851-9EDD-BE9AA8CFEF4A}"/>
    <dgm:cxn modelId="{82F4B1B1-2B23-4011-9861-434F9C591313}" type="presOf" srcId="{D9926B12-C352-4345-BB7A-B9E0759E71ED}" destId="{C64A363D-02CB-4782-AA49-D98C160F7237}" srcOrd="1" destOrd="0" presId="urn:microsoft.com/office/officeart/2005/8/layout/process2"/>
    <dgm:cxn modelId="{085D73B8-E63A-4489-BCC0-25B7AE43CEE6}" type="presOf" srcId="{797F4678-DAB5-4A89-8E5F-183B93901ECA}" destId="{A3335E7F-547E-4AE8-8886-AC60F8BD53D4}" srcOrd="1" destOrd="0" presId="urn:microsoft.com/office/officeart/2005/8/layout/process2"/>
    <dgm:cxn modelId="{B31821BB-9F6E-4C20-A256-26D3CDBB9207}" type="presOf" srcId="{EAD8216F-702E-487F-AFD5-108EB3F451C2}" destId="{26005CB1-ED9B-4DCF-8922-599240D7EA4D}" srcOrd="0" destOrd="0" presId="urn:microsoft.com/office/officeart/2005/8/layout/process2"/>
    <dgm:cxn modelId="{488F3DBE-5A74-4BF7-B436-94F9F0C482E2}" type="presOf" srcId="{3E53770D-3038-48E8-A9D2-A6DFC0666668}" destId="{50DE77EA-0F69-467F-AB25-BB04DFBE325A}" srcOrd="1" destOrd="0" presId="urn:microsoft.com/office/officeart/2005/8/layout/process2"/>
    <dgm:cxn modelId="{E5F208D7-BCBA-45C5-B2B4-6D265FB2EACB}" type="presOf" srcId="{D9926B12-C352-4345-BB7A-B9E0759E71ED}" destId="{8A6F2504-C598-4533-8C97-297371AE6B44}" srcOrd="0" destOrd="0" presId="urn:microsoft.com/office/officeart/2005/8/layout/process2"/>
    <dgm:cxn modelId="{1B9360C2-2D4A-4050-8A8C-9EBC455C7052}" type="presOf" srcId="{0DAE7B1B-2A6E-4801-A0EB-1EC5156CE40C}" destId="{2D0D12BD-55F0-4E0E-B355-37810D3DBA41}" srcOrd="0" destOrd="0" presId="urn:microsoft.com/office/officeart/2005/8/layout/process2"/>
    <dgm:cxn modelId="{5DE24BE2-C983-4213-8B85-395C040A66CD}" type="presOf" srcId="{37D28E65-2B40-4CFB-B95C-499C0C82BAF6}" destId="{9D25709D-7870-4803-AD9B-464969BC4CF9}" srcOrd="0" destOrd="0" presId="urn:microsoft.com/office/officeart/2005/8/layout/process2"/>
    <dgm:cxn modelId="{6F58D7E5-8148-4B5D-8723-37171DA85AB8}" type="presOf" srcId="{342E6AE4-572C-447C-A80E-1DC3FB86363D}" destId="{B5AD58BE-9AFD-4A30-9096-FF72DED42C0D}" srcOrd="1" destOrd="0" presId="urn:microsoft.com/office/officeart/2005/8/layout/process2"/>
    <dgm:cxn modelId="{7E07A4C7-FCD2-4B32-B937-D23DE0A885E0}" type="presOf" srcId="{F9D0416C-50BA-49E3-925C-51D33B80AD85}" destId="{54C5B390-E165-4636-BEAF-C377320848DE}" srcOrd="1" destOrd="0" presId="urn:microsoft.com/office/officeart/2005/8/layout/process2"/>
    <dgm:cxn modelId="{FDDB56EB-91E7-4932-AACC-1B849B50B60B}" type="presOf" srcId="{2E0D8B81-2D6B-4851-9EDD-BE9AA8CFEF4A}" destId="{385D2F90-4151-47EA-A54E-DD3E788ABCF3}" srcOrd="1" destOrd="0" presId="urn:microsoft.com/office/officeart/2005/8/layout/process2"/>
    <dgm:cxn modelId="{ECE5A8F4-DB32-447E-A62D-10F50370BDCB}" srcId="{0DAE7B1B-2A6E-4801-A0EB-1EC5156CE40C}" destId="{EAD8216F-702E-487F-AFD5-108EB3F451C2}" srcOrd="1" destOrd="0" parTransId="{9E7399F8-3BD4-4031-A40D-42BF88676529}" sibTransId="{9A1698F7-B213-4135-A53E-A15DBCF0759B}"/>
    <dgm:cxn modelId="{27289AD6-8898-4EBB-835E-E5C5681B1926}" type="presOf" srcId="{2E0D8B81-2D6B-4851-9EDD-BE9AA8CFEF4A}" destId="{FB1AA4B2-9C96-4AE3-B188-EF636297C157}" srcOrd="0" destOrd="0" presId="urn:microsoft.com/office/officeart/2005/8/layout/process2"/>
    <dgm:cxn modelId="{864F50D9-0471-4F2F-A645-3E6AA6F0A679}" srcId="{0DAE7B1B-2A6E-4801-A0EB-1EC5156CE40C}" destId="{89CFBC19-08C9-40F1-A2F0-2C6DA6A2375E}" srcOrd="0" destOrd="0" parTransId="{86E89AB0-2437-46BF-9E8B-43AC58E35891}" sibTransId="{797F4678-DAB5-4A89-8E5F-183B93901ECA}"/>
    <dgm:cxn modelId="{5BE9F9D7-2843-4E50-A949-F40E3EF4DCB5}" type="presParOf" srcId="{2D0D12BD-55F0-4E0E-B355-37810D3DBA41}" destId="{68BFF9F1-F4F1-4694-B513-6A4AC969DB97}" srcOrd="0" destOrd="0" presId="urn:microsoft.com/office/officeart/2005/8/layout/process2"/>
    <dgm:cxn modelId="{94E1665C-1A28-4AE3-90FE-056AF4495512}" type="presParOf" srcId="{2D0D12BD-55F0-4E0E-B355-37810D3DBA41}" destId="{A008AFAD-8763-43CC-B4B0-800AC61B707E}" srcOrd="1" destOrd="0" presId="urn:microsoft.com/office/officeart/2005/8/layout/process2"/>
    <dgm:cxn modelId="{B1D6975B-7F6A-4E08-AE18-54D59EAF2C04}" type="presParOf" srcId="{A008AFAD-8763-43CC-B4B0-800AC61B707E}" destId="{A3335E7F-547E-4AE8-8886-AC60F8BD53D4}" srcOrd="0" destOrd="0" presId="urn:microsoft.com/office/officeart/2005/8/layout/process2"/>
    <dgm:cxn modelId="{0C9B5067-3209-4CC4-BE38-38451D4BE6F4}" type="presParOf" srcId="{2D0D12BD-55F0-4E0E-B355-37810D3DBA41}" destId="{26005CB1-ED9B-4DCF-8922-599240D7EA4D}" srcOrd="2" destOrd="0" presId="urn:microsoft.com/office/officeart/2005/8/layout/process2"/>
    <dgm:cxn modelId="{A72994AA-83D3-407B-A2D2-0088ED1FFE61}" type="presParOf" srcId="{2D0D12BD-55F0-4E0E-B355-37810D3DBA41}" destId="{A3A86A7B-3928-4EC9-B4E3-35E18B24ADFD}" srcOrd="3" destOrd="0" presId="urn:microsoft.com/office/officeart/2005/8/layout/process2"/>
    <dgm:cxn modelId="{684E09B0-D0A5-480E-B4A1-160D2C7B8811}" type="presParOf" srcId="{A3A86A7B-3928-4EC9-B4E3-35E18B24ADFD}" destId="{DCAAC258-48CC-474F-A881-B930A497F7AC}" srcOrd="0" destOrd="0" presId="urn:microsoft.com/office/officeart/2005/8/layout/process2"/>
    <dgm:cxn modelId="{5EB4DE98-3019-4BA2-92CD-8FA45C3CC941}" type="presParOf" srcId="{2D0D12BD-55F0-4E0E-B355-37810D3DBA41}" destId="{7C9A11F9-3BCA-44DF-8A46-5EBEC8D5CACF}" srcOrd="4" destOrd="0" presId="urn:microsoft.com/office/officeart/2005/8/layout/process2"/>
    <dgm:cxn modelId="{2A9BA51C-305C-46CB-BBEA-27033E333C4D}" type="presParOf" srcId="{2D0D12BD-55F0-4E0E-B355-37810D3DBA41}" destId="{FB1AA4B2-9C96-4AE3-B188-EF636297C157}" srcOrd="5" destOrd="0" presId="urn:microsoft.com/office/officeart/2005/8/layout/process2"/>
    <dgm:cxn modelId="{2B641CFD-9D78-4839-A069-EF8D5965D619}" type="presParOf" srcId="{FB1AA4B2-9C96-4AE3-B188-EF636297C157}" destId="{385D2F90-4151-47EA-A54E-DD3E788ABCF3}" srcOrd="0" destOrd="0" presId="urn:microsoft.com/office/officeart/2005/8/layout/process2"/>
    <dgm:cxn modelId="{02A5E7CA-B164-4D62-B7CB-70CAD4977C59}" type="presParOf" srcId="{2D0D12BD-55F0-4E0E-B355-37810D3DBA41}" destId="{5361DEA8-8F33-45AA-A45C-E6095E23C596}" srcOrd="6" destOrd="0" presId="urn:microsoft.com/office/officeart/2005/8/layout/process2"/>
    <dgm:cxn modelId="{BCABB795-1F24-476A-A602-557EB68EA074}" type="presParOf" srcId="{2D0D12BD-55F0-4E0E-B355-37810D3DBA41}" destId="{E3103755-1C26-4A57-A685-E184B7BAAEC6}" srcOrd="7" destOrd="0" presId="urn:microsoft.com/office/officeart/2005/8/layout/process2"/>
    <dgm:cxn modelId="{BAC1DE00-5F1A-483C-83D8-1B563D3766E1}" type="presParOf" srcId="{E3103755-1C26-4A57-A685-E184B7BAAEC6}" destId="{B5AD58BE-9AFD-4A30-9096-FF72DED42C0D}" srcOrd="0" destOrd="0" presId="urn:microsoft.com/office/officeart/2005/8/layout/process2"/>
    <dgm:cxn modelId="{4C0A5FCD-8B6E-467D-8CFC-BE73942F3941}" type="presParOf" srcId="{2D0D12BD-55F0-4E0E-B355-37810D3DBA41}" destId="{B2BD32B6-06D4-49FB-B2C7-E29A04AF2662}" srcOrd="8" destOrd="0" presId="urn:microsoft.com/office/officeart/2005/8/layout/process2"/>
    <dgm:cxn modelId="{9ED4828B-479E-43A0-9F97-C6E01A0777EB}" type="presParOf" srcId="{2D0D12BD-55F0-4E0E-B355-37810D3DBA41}" destId="{E7B7DF1D-17EE-4809-8C96-EAE428ABCC01}" srcOrd="9" destOrd="0" presId="urn:microsoft.com/office/officeart/2005/8/layout/process2"/>
    <dgm:cxn modelId="{2B2B89F0-4124-4734-9C20-6B32265F0750}" type="presParOf" srcId="{E7B7DF1D-17EE-4809-8C96-EAE428ABCC01}" destId="{AC3E57F2-1702-45BC-AC89-5B10942BC0C1}" srcOrd="0" destOrd="0" presId="urn:microsoft.com/office/officeart/2005/8/layout/process2"/>
    <dgm:cxn modelId="{595F0B4F-4C51-4BD3-94A1-6443ADE07B51}" type="presParOf" srcId="{2D0D12BD-55F0-4E0E-B355-37810D3DBA41}" destId="{10060258-2D45-46BC-B9C1-22A6BB16FC91}" srcOrd="10" destOrd="0" presId="urn:microsoft.com/office/officeart/2005/8/layout/process2"/>
    <dgm:cxn modelId="{72C23553-9509-4056-A78B-696F41EC7C1D}" type="presParOf" srcId="{2D0D12BD-55F0-4E0E-B355-37810D3DBA41}" destId="{9D25709D-7870-4803-AD9B-464969BC4CF9}" srcOrd="11" destOrd="0" presId="urn:microsoft.com/office/officeart/2005/8/layout/process2"/>
    <dgm:cxn modelId="{3C03D0E5-A08F-4B9F-9135-D37BB3997D84}" type="presParOf" srcId="{9D25709D-7870-4803-AD9B-464969BC4CF9}" destId="{F891BC69-6477-40F5-9490-F5AC1D704417}" srcOrd="0" destOrd="0" presId="urn:microsoft.com/office/officeart/2005/8/layout/process2"/>
    <dgm:cxn modelId="{E057C6A8-F27F-4434-A880-DD40DF3021B2}" type="presParOf" srcId="{2D0D12BD-55F0-4E0E-B355-37810D3DBA41}" destId="{DF7DE8B9-456E-4DBB-A524-19A9C2A2B689}" srcOrd="12" destOrd="0" presId="urn:microsoft.com/office/officeart/2005/8/layout/process2"/>
    <dgm:cxn modelId="{90762A30-BA87-4967-9D4E-519B739C8EC0}" type="presParOf" srcId="{2D0D12BD-55F0-4E0E-B355-37810D3DBA41}" destId="{6341ED82-6A38-4D06-96B8-ACB06385D731}" srcOrd="13" destOrd="0" presId="urn:microsoft.com/office/officeart/2005/8/layout/process2"/>
    <dgm:cxn modelId="{30F57131-E24C-4544-B44B-B9E509D6EA5F}" type="presParOf" srcId="{6341ED82-6A38-4D06-96B8-ACB06385D731}" destId="{50DE77EA-0F69-467F-AB25-BB04DFBE325A}" srcOrd="0" destOrd="0" presId="urn:microsoft.com/office/officeart/2005/8/layout/process2"/>
    <dgm:cxn modelId="{A4C7C124-05E7-4DFE-8930-EAE29AF5C8A8}" type="presParOf" srcId="{2D0D12BD-55F0-4E0E-B355-37810D3DBA41}" destId="{D8C7C523-BDE1-4C9E-BF47-FCC96FF997A7}" srcOrd="14" destOrd="0" presId="urn:microsoft.com/office/officeart/2005/8/layout/process2"/>
    <dgm:cxn modelId="{ECF2BEC0-6C66-4043-BE37-255F24F1AE68}" type="presParOf" srcId="{2D0D12BD-55F0-4E0E-B355-37810D3DBA41}" destId="{5598922E-29D5-41A2-9C83-C9EF6701164C}" srcOrd="15" destOrd="0" presId="urn:microsoft.com/office/officeart/2005/8/layout/process2"/>
    <dgm:cxn modelId="{CA261314-5FAA-48C0-9919-9A458FF5B442}" type="presParOf" srcId="{5598922E-29D5-41A2-9C83-C9EF6701164C}" destId="{54C5B390-E165-4636-BEAF-C377320848DE}" srcOrd="0" destOrd="0" presId="urn:microsoft.com/office/officeart/2005/8/layout/process2"/>
    <dgm:cxn modelId="{C86EA4FA-3655-4F12-A563-87139F87D2C3}" type="presParOf" srcId="{2D0D12BD-55F0-4E0E-B355-37810D3DBA41}" destId="{4EE815E4-5B8D-4EA0-B282-4EBF2A247396}" srcOrd="16" destOrd="0" presId="urn:microsoft.com/office/officeart/2005/8/layout/process2"/>
    <dgm:cxn modelId="{E249EDE7-00BB-4B74-B397-394D1E599B50}" type="presParOf" srcId="{2D0D12BD-55F0-4E0E-B355-37810D3DBA41}" destId="{2247C727-AF64-4154-A771-D6F7AB767477}" srcOrd="17" destOrd="0" presId="urn:microsoft.com/office/officeart/2005/8/layout/process2"/>
    <dgm:cxn modelId="{F58D027B-F495-44BD-9880-06DA4EDCCBC3}" type="presParOf" srcId="{2247C727-AF64-4154-A771-D6F7AB767477}" destId="{0FBFAF1A-8EF9-4B29-AFA6-4B9C272BD615}" srcOrd="0" destOrd="0" presId="urn:microsoft.com/office/officeart/2005/8/layout/process2"/>
    <dgm:cxn modelId="{CD525B61-950A-4870-9ABC-D80F0C84C437}" type="presParOf" srcId="{2D0D12BD-55F0-4E0E-B355-37810D3DBA41}" destId="{7FA8F34A-701F-4935-B4AA-2F677899D5E2}" srcOrd="18" destOrd="0" presId="urn:microsoft.com/office/officeart/2005/8/layout/process2"/>
    <dgm:cxn modelId="{03E082F0-F834-4FA6-AE29-6FAEBC0B0EEF}" type="presParOf" srcId="{2D0D12BD-55F0-4E0E-B355-37810D3DBA41}" destId="{8A6F2504-C598-4533-8C97-297371AE6B44}" srcOrd="19" destOrd="0" presId="urn:microsoft.com/office/officeart/2005/8/layout/process2"/>
    <dgm:cxn modelId="{B386E178-6010-4EA2-92D7-7EE83EDAA0E5}" type="presParOf" srcId="{8A6F2504-C598-4533-8C97-297371AE6B44}" destId="{C64A363D-02CB-4782-AA49-D98C160F7237}" srcOrd="0" destOrd="0" presId="urn:microsoft.com/office/officeart/2005/8/layout/process2"/>
    <dgm:cxn modelId="{4DDA881D-9A75-4CD7-ADE3-557CC0AD5455}" type="presParOf" srcId="{2D0D12BD-55F0-4E0E-B355-37810D3DBA41}" destId="{3DA5F195-E5E8-44F0-AFF2-2C65B2D298D9}" srcOrd="20" destOrd="0" presId="urn:microsoft.com/office/officeart/2005/8/layout/process2"/>
  </dgm:cxnLst>
  <dgm:bg>
    <a:noFill/>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BFF9F1-F4F1-4694-B513-6A4AC969DB97}">
      <dsp:nvSpPr>
        <dsp:cNvPr id="0" name=""/>
        <dsp:cNvSpPr/>
      </dsp:nvSpPr>
      <dsp:spPr>
        <a:xfrm>
          <a:off x="925398" y="7237"/>
          <a:ext cx="4511903" cy="397257"/>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This study compared the influence of the single-cone and cold lateral compaction obturation techniques on the retrievability of NeoSEALER Flo bioceramic sealer.</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937033" y="18872"/>
        <a:ext cx="4488633" cy="373987"/>
      </dsp:txXfrm>
    </dsp:sp>
    <dsp:sp modelId="{A008AFAD-8763-43CC-B4B0-800AC61B707E}">
      <dsp:nvSpPr>
        <dsp:cNvPr id="0" name=""/>
        <dsp:cNvSpPr/>
      </dsp:nvSpPr>
      <dsp:spPr>
        <a:xfrm rot="5435532">
          <a:off x="3011569" y="423950"/>
          <a:ext cx="333203"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en-US" sz="1900" kern="1200"/>
        </a:p>
      </dsp:txBody>
      <dsp:txXfrm rot="-5400000">
        <a:off x="3124818" y="346733"/>
        <a:ext cx="107259" cy="279574"/>
      </dsp:txXfrm>
    </dsp:sp>
    <dsp:sp modelId="{26005CB1-ED9B-4DCF-8922-599240D7EA4D}">
      <dsp:nvSpPr>
        <dsp:cNvPr id="0" name=""/>
        <dsp:cNvSpPr/>
      </dsp:nvSpPr>
      <dsp:spPr>
        <a:xfrm>
          <a:off x="1553509" y="622173"/>
          <a:ext cx="3242969" cy="397257"/>
        </a:xfrm>
        <a:prstGeom prst="roundRect">
          <a:avLst>
            <a:gd name="adj" fmla="val 10000"/>
          </a:avLst>
        </a:prstGeom>
        <a:solidFill>
          <a:schemeClr val="bg1"/>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This study compared the influence of the single-cone and cold lateral compaction obturation techniques on the retrievability of NeoSEALER Flo bioceramic sealer.</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1565144" y="633808"/>
        <a:ext cx="3219699" cy="373987"/>
      </dsp:txXfrm>
    </dsp:sp>
    <dsp:sp modelId="{A3A86A7B-3928-4EC9-B4E3-35E18B24ADFD}">
      <dsp:nvSpPr>
        <dsp:cNvPr id="0" name=""/>
        <dsp:cNvSpPr/>
      </dsp:nvSpPr>
      <dsp:spPr>
        <a:xfrm rot="5365163">
          <a:off x="3040475" y="1019836"/>
          <a:ext cx="274881"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5400000">
        <a:off x="3124014" y="971780"/>
        <a:ext cx="107259" cy="221252"/>
      </dsp:txXfrm>
    </dsp:sp>
    <dsp:sp modelId="{7C9A11F9-3BCA-44DF-8A46-5EBEC8D5CACF}">
      <dsp:nvSpPr>
        <dsp:cNvPr id="0" name=""/>
        <dsp:cNvSpPr/>
      </dsp:nvSpPr>
      <dsp:spPr>
        <a:xfrm>
          <a:off x="977184" y="1199008"/>
          <a:ext cx="4408331" cy="498013"/>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This study was approved by the local institutional review board with registration no. MIU-IRB-2122. </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991770" y="1213594"/>
        <a:ext cx="4379159" cy="468841"/>
      </dsp:txXfrm>
    </dsp:sp>
    <dsp:sp modelId="{FB1AA4B2-9C96-4AE3-B188-EF636297C157}">
      <dsp:nvSpPr>
        <dsp:cNvPr id="0" name=""/>
        <dsp:cNvSpPr/>
      </dsp:nvSpPr>
      <dsp:spPr>
        <a:xfrm rot="5400000">
          <a:off x="3029336" y="1706953"/>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rot="-5400000">
        <a:off x="3127720" y="1644323"/>
        <a:ext cx="107259" cy="250397"/>
      </dsp:txXfrm>
    </dsp:sp>
    <dsp:sp modelId="{5361DEA8-8F33-45AA-A45C-E6095E23C596}">
      <dsp:nvSpPr>
        <dsp:cNvPr id="0" name=""/>
        <dsp:cNvSpPr/>
      </dsp:nvSpPr>
      <dsp:spPr>
        <a:xfrm>
          <a:off x="1451867" y="1895650"/>
          <a:ext cx="3458965" cy="397257"/>
        </a:xfrm>
        <a:prstGeom prst="roundRect">
          <a:avLst>
            <a:gd name="adj" fmla="val 10000"/>
          </a:avLst>
        </a:prstGeom>
        <a:solidFill>
          <a:schemeClr val="bg1"/>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Single-rooted permanent mandibular premolars </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1463502" y="1907285"/>
        <a:ext cx="3435695" cy="373987"/>
      </dsp:txXfrm>
    </dsp:sp>
    <dsp:sp modelId="{E3103755-1C26-4A57-A685-E184B7BAAEC6}">
      <dsp:nvSpPr>
        <dsp:cNvPr id="0" name=""/>
        <dsp:cNvSpPr/>
      </dsp:nvSpPr>
      <dsp:spPr>
        <a:xfrm rot="5400000">
          <a:off x="3029336" y="2302839"/>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rot="-5400000">
        <a:off x="3127720" y="2240209"/>
        <a:ext cx="107259" cy="250397"/>
      </dsp:txXfrm>
    </dsp:sp>
    <dsp:sp modelId="{B2BD32B6-06D4-49FB-B2C7-E29A04AF2662}">
      <dsp:nvSpPr>
        <dsp:cNvPr id="0" name=""/>
        <dsp:cNvSpPr/>
      </dsp:nvSpPr>
      <dsp:spPr>
        <a:xfrm>
          <a:off x="830461" y="2491536"/>
          <a:ext cx="4701776" cy="1057661"/>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Samples were assigned into two equal groups according to the obturation technique used, single cone obturation and lateral compaction, (n=6)</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861439" y="2522514"/>
        <a:ext cx="4639820" cy="995705"/>
      </dsp:txXfrm>
    </dsp:sp>
    <dsp:sp modelId="{E7B7DF1D-17EE-4809-8C96-EAE428ABCC01}">
      <dsp:nvSpPr>
        <dsp:cNvPr id="0" name=""/>
        <dsp:cNvSpPr/>
      </dsp:nvSpPr>
      <dsp:spPr>
        <a:xfrm rot="5400000">
          <a:off x="3029336" y="3559129"/>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rot="-5400000">
        <a:off x="3127720" y="3496499"/>
        <a:ext cx="107259" cy="250397"/>
      </dsp:txXfrm>
    </dsp:sp>
    <dsp:sp modelId="{10060258-2D45-46BC-B9C1-22A6BB16FC91}">
      <dsp:nvSpPr>
        <dsp:cNvPr id="0" name=""/>
        <dsp:cNvSpPr/>
      </dsp:nvSpPr>
      <dsp:spPr>
        <a:xfrm>
          <a:off x="839097" y="3747826"/>
          <a:ext cx="4684504" cy="598988"/>
        </a:xfrm>
        <a:prstGeom prst="roundRect">
          <a:avLst>
            <a:gd name="adj" fmla="val 10000"/>
          </a:avLst>
        </a:prstGeom>
        <a:solidFill>
          <a:schemeClr val="bg1"/>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tx1"/>
              </a:solidFill>
              <a:latin typeface="Cambria" panose="02040503050406030204" pitchFamily="18" charset="0"/>
              <a:ea typeface="Cambria" panose="02040503050406030204" pitchFamily="18" charset="0"/>
            </a:rPr>
            <a:t>Retreatment time and remnants of filling material were evaluated</a:t>
          </a:r>
        </a:p>
      </dsp:txBody>
      <dsp:txXfrm>
        <a:off x="856641" y="3765370"/>
        <a:ext cx="4649416" cy="563900"/>
      </dsp:txXfrm>
    </dsp:sp>
    <dsp:sp modelId="{9D25709D-7870-4803-AD9B-464969BC4CF9}">
      <dsp:nvSpPr>
        <dsp:cNvPr id="0" name=""/>
        <dsp:cNvSpPr/>
      </dsp:nvSpPr>
      <dsp:spPr>
        <a:xfrm rot="5400000">
          <a:off x="3029336" y="4356746"/>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rot="-5400000">
        <a:off x="3127720" y="4294116"/>
        <a:ext cx="107259" cy="250397"/>
      </dsp:txXfrm>
    </dsp:sp>
    <dsp:sp modelId="{DF7DE8B9-456E-4DBB-A524-19A9C2A2B689}">
      <dsp:nvSpPr>
        <dsp:cNvPr id="0" name=""/>
        <dsp:cNvSpPr/>
      </dsp:nvSpPr>
      <dsp:spPr>
        <a:xfrm>
          <a:off x="1054864" y="4545443"/>
          <a:ext cx="4252971" cy="516299"/>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mbria" panose="02040503050406030204" pitchFamily="18" charset="0"/>
            </a:rPr>
            <a:t>Stop watch and steriomicroscope</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1069986" y="4560565"/>
        <a:ext cx="4222727" cy="486055"/>
      </dsp:txXfrm>
    </dsp:sp>
    <dsp:sp modelId="{6341ED82-6A38-4D06-96B8-ACB06385D731}">
      <dsp:nvSpPr>
        <dsp:cNvPr id="0" name=""/>
        <dsp:cNvSpPr/>
      </dsp:nvSpPr>
      <dsp:spPr>
        <a:xfrm rot="5400000">
          <a:off x="3029336" y="5071674"/>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rot="-5400000">
        <a:off x="3127720" y="5009044"/>
        <a:ext cx="107259" cy="250397"/>
      </dsp:txXfrm>
    </dsp:sp>
    <dsp:sp modelId="{D8C7C523-BDE1-4C9E-BF47-FCC96FF997A7}">
      <dsp:nvSpPr>
        <dsp:cNvPr id="0" name=""/>
        <dsp:cNvSpPr/>
      </dsp:nvSpPr>
      <dsp:spPr>
        <a:xfrm>
          <a:off x="1168400" y="5260371"/>
          <a:ext cx="4025899" cy="397257"/>
        </a:xfrm>
        <a:prstGeom prst="roundRect">
          <a:avLst>
            <a:gd name="adj" fmla="val 10000"/>
          </a:avLst>
        </a:prstGeom>
        <a:solidFill>
          <a:schemeClr val="bg1"/>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The cold lateral compaction technique showed more remnants at all root levels, which was statistically significant at the middle and apical root levels. The retreatment time did not differ between groups. </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1180035" y="5272006"/>
        <a:ext cx="4002629" cy="373987"/>
      </dsp:txXfrm>
    </dsp:sp>
    <dsp:sp modelId="{5598922E-29D5-41A2-9C83-C9EF6701164C}">
      <dsp:nvSpPr>
        <dsp:cNvPr id="0" name=""/>
        <dsp:cNvSpPr/>
      </dsp:nvSpPr>
      <dsp:spPr>
        <a:xfrm rot="5367393">
          <a:off x="3082738" y="5634308"/>
          <a:ext cx="202244"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3129976" y="5622570"/>
        <a:ext cx="107259" cy="148615"/>
      </dsp:txXfrm>
    </dsp:sp>
    <dsp:sp modelId="{4EE815E4-5B8D-4EA0-B282-4EBF2A247396}">
      <dsp:nvSpPr>
        <dsp:cNvPr id="0" name=""/>
        <dsp:cNvSpPr/>
      </dsp:nvSpPr>
      <dsp:spPr>
        <a:xfrm>
          <a:off x="1564886" y="5789754"/>
          <a:ext cx="3242969" cy="397257"/>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Within the limitations of this ex vivo study, the findings suggest that the single cone obturation technique with bioceramic sealer may allow easier and more effective retrievability.</a:t>
          </a:r>
          <a:endParaRPr lang="en-US" sz="900" kern="1200">
            <a:solidFill>
              <a:sysClr val="windowText" lastClr="000000"/>
            </a:solidFill>
            <a:latin typeface="Cambria" panose="02040503050406030204" pitchFamily="18" charset="0"/>
            <a:ea typeface="Cambria" panose="02040503050406030204" pitchFamily="18" charset="0"/>
          </a:endParaRPr>
        </a:p>
      </dsp:txBody>
      <dsp:txXfrm>
        <a:off x="1576521" y="5801389"/>
        <a:ext cx="3219699" cy="373987"/>
      </dsp:txXfrm>
    </dsp:sp>
    <dsp:sp modelId="{2247C727-AF64-4154-A771-D6F7AB767477}">
      <dsp:nvSpPr>
        <dsp:cNvPr id="0" name=""/>
        <dsp:cNvSpPr/>
      </dsp:nvSpPr>
      <dsp:spPr>
        <a:xfrm rot="5428170">
          <a:off x="2980741" y="6230194"/>
          <a:ext cx="405831"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rot="-5400000">
        <a:off x="3130246" y="6116662"/>
        <a:ext cx="107259" cy="352202"/>
      </dsp:txXfrm>
    </dsp:sp>
    <dsp:sp modelId="{7FA8F34A-701F-4935-B4AA-2F677899D5E2}">
      <dsp:nvSpPr>
        <dsp:cNvPr id="0" name=""/>
        <dsp:cNvSpPr/>
      </dsp:nvSpPr>
      <dsp:spPr>
        <a:xfrm>
          <a:off x="1559865" y="6452142"/>
          <a:ext cx="3242969" cy="298034"/>
        </a:xfrm>
        <a:prstGeom prst="roundRect">
          <a:avLst>
            <a:gd name="adj" fmla="val 10000"/>
          </a:avLst>
        </a:prstGeom>
        <a:solidFill>
          <a:schemeClr val="bg1"/>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tx1"/>
              </a:solidFill>
              <a:latin typeface="Cambria" panose="02040503050406030204" pitchFamily="18" charset="0"/>
            </a:rPr>
            <a:t>No Funding</a:t>
          </a:r>
          <a:endParaRPr lang="en-US" sz="900" b="1" kern="1200">
            <a:solidFill>
              <a:schemeClr val="tx1"/>
            </a:solidFill>
            <a:latin typeface="Cambria" panose="02040503050406030204" pitchFamily="18" charset="0"/>
            <a:ea typeface="Cambria" panose="02040503050406030204" pitchFamily="18" charset="0"/>
          </a:endParaRPr>
        </a:p>
      </dsp:txBody>
      <dsp:txXfrm>
        <a:off x="1568594" y="6460871"/>
        <a:ext cx="3225511" cy="280576"/>
      </dsp:txXfrm>
    </dsp:sp>
    <dsp:sp modelId="{8A6F2504-C598-4533-8C97-297371AE6B44}">
      <dsp:nvSpPr>
        <dsp:cNvPr id="0" name=""/>
        <dsp:cNvSpPr/>
      </dsp:nvSpPr>
      <dsp:spPr>
        <a:xfrm rot="5400000">
          <a:off x="3029336" y="6760108"/>
          <a:ext cx="304026" cy="178765"/>
        </a:xfrm>
        <a:prstGeom prst="rightArrow">
          <a:avLst>
            <a:gd name="adj1" fmla="val 60000"/>
            <a:gd name="adj2" fmla="val 5000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solidFill>
              <a:srgbClr val="FF0000"/>
            </a:solidFill>
          </a:endParaRPr>
        </a:p>
      </dsp:txBody>
      <dsp:txXfrm rot="-5400000">
        <a:off x="3127720" y="6697478"/>
        <a:ext cx="107259" cy="250397"/>
      </dsp:txXfrm>
    </dsp:sp>
    <dsp:sp modelId="{3DA5F195-E5E8-44F0-AFF2-2C65B2D298D9}">
      <dsp:nvSpPr>
        <dsp:cNvPr id="0" name=""/>
        <dsp:cNvSpPr/>
      </dsp:nvSpPr>
      <dsp:spPr>
        <a:xfrm>
          <a:off x="1559865" y="6948805"/>
          <a:ext cx="3242969" cy="397257"/>
        </a:xfrm>
        <a:prstGeom prst="roundRect">
          <a:avLst>
            <a:gd name="adj" fmla="val 10000"/>
          </a:avLst>
        </a:prstGeom>
        <a:solidFill>
          <a:schemeClr val="accent6">
            <a:lumMod val="60000"/>
            <a:lumOff val="40000"/>
          </a:schemeClr>
        </a:solidFill>
        <a:ln w="190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mbria" panose="02040503050406030204" pitchFamily="18" charset="0"/>
            </a:rPr>
            <a:t>CONFLICT OF INTEREST: None</a:t>
          </a:r>
          <a:endParaRPr lang="en-US" sz="900" b="1" kern="1200">
            <a:solidFill>
              <a:sysClr val="windowText" lastClr="000000"/>
            </a:solidFill>
            <a:latin typeface="Cambria" panose="02040503050406030204" pitchFamily="18" charset="0"/>
            <a:ea typeface="Cambria" panose="02040503050406030204" pitchFamily="18" charset="0"/>
          </a:endParaRPr>
        </a:p>
      </dsp:txBody>
      <dsp:txXfrm>
        <a:off x="1571500" y="6960440"/>
        <a:ext cx="3219699" cy="37398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1321</TotalTime>
  <Pages>1</Pages>
  <Words>3</Words>
  <Characters>18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Dr.Tarek Medhat  Ahmed Mahmoud Elsewify</dc:creator>
  <cp:keywords/>
  <dc:description/>
  <cp:lastModifiedBy>Dr.Tarek Medhat  Ahmed Mahmoud Elsewify</cp:lastModifiedBy>
  <cp:revision>4</cp:revision>
  <dcterms:created xsi:type="dcterms:W3CDTF">2025-10-14T07:10:00Z</dcterms:created>
  <dcterms:modified xsi:type="dcterms:W3CDTF">2025-10-15T05:11:00Z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6704960b-4d41-4ed6-b947-b8e35857f14c</vt:lpwstr>
  </property>
</Properties>
</file>