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F835" w14:textId="77777777" w:rsidR="005F4800" w:rsidRPr="008B6881" w:rsidRDefault="00743D8E" w:rsidP="008B6881">
      <w:pPr>
        <w:pStyle w:val="Title"/>
        <w:spacing w:before="0" w:after="0"/>
        <w:jc w:val="both"/>
        <w:rPr>
          <w:rFonts w:cstheme="majorHAnsi"/>
          <w:color w:val="auto"/>
          <w:sz w:val="24"/>
          <w:szCs w:val="24"/>
        </w:rPr>
      </w:pPr>
      <w:r w:rsidRPr="008B6881">
        <w:rPr>
          <w:rFonts w:cstheme="majorHAnsi"/>
          <w:color w:val="auto"/>
          <w:sz w:val="24"/>
          <w:szCs w:val="24"/>
        </w:rPr>
        <w:t>Supplemental Methods and Equipment Specifications</w:t>
      </w:r>
    </w:p>
    <w:p w14:paraId="7789B66A" w14:textId="77777777" w:rsidR="00D90AD7" w:rsidRPr="008B6881" w:rsidRDefault="00D90AD7" w:rsidP="008B6881">
      <w:pPr>
        <w:pStyle w:val="Heading1"/>
        <w:spacing w:before="0" w:after="0"/>
        <w:jc w:val="both"/>
        <w:rPr>
          <w:rFonts w:cstheme="majorHAnsi"/>
          <w:color w:val="auto"/>
          <w:szCs w:val="24"/>
        </w:rPr>
      </w:pPr>
    </w:p>
    <w:p w14:paraId="7EE2AE0A" w14:textId="739CC339" w:rsidR="005F4800" w:rsidRPr="008B6881" w:rsidRDefault="00743D8E" w:rsidP="008B6881">
      <w:pPr>
        <w:pStyle w:val="Heading1"/>
        <w:numPr>
          <w:ilvl w:val="0"/>
          <w:numId w:val="14"/>
        </w:numPr>
        <w:spacing w:before="0" w:after="0"/>
        <w:ind w:left="0" w:firstLine="0"/>
        <w:jc w:val="both"/>
        <w:rPr>
          <w:rFonts w:cstheme="majorHAnsi"/>
          <w:color w:val="auto"/>
          <w:szCs w:val="24"/>
        </w:rPr>
      </w:pPr>
      <w:r w:rsidRPr="008B6881">
        <w:rPr>
          <w:rFonts w:cstheme="majorHAnsi"/>
          <w:color w:val="auto"/>
          <w:szCs w:val="24"/>
        </w:rPr>
        <w:t>Animals</w:t>
      </w:r>
    </w:p>
    <w:p w14:paraId="0B771CE9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593BBCF4" w14:textId="1B01DDB0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Generate </w:t>
      </w:r>
      <w:r w:rsidRPr="008B6881">
        <w:rPr>
          <w:rFonts w:asciiTheme="majorHAnsi" w:hAnsiTheme="majorHAnsi" w:cstheme="majorHAnsi"/>
          <w:i/>
          <w:iCs/>
          <w:szCs w:val="24"/>
        </w:rPr>
        <w:t>Agpat2</w:t>
      </w:r>
      <w:r w:rsidRPr="008B6881">
        <w:rPr>
          <w:rFonts w:asciiTheme="majorHAnsi" w:hAnsiTheme="majorHAnsi" w:cstheme="majorHAnsi"/>
          <w:szCs w:val="24"/>
          <w:vertAlign w:val="superscript"/>
        </w:rPr>
        <w:t>+/+</w:t>
      </w:r>
      <w:r w:rsidRPr="008B6881">
        <w:rPr>
          <w:rFonts w:asciiTheme="majorHAnsi" w:hAnsiTheme="majorHAnsi" w:cstheme="majorHAnsi"/>
          <w:szCs w:val="24"/>
        </w:rPr>
        <w:t xml:space="preserve"> (wild type) and Agpat2</w:t>
      </w:r>
      <w:r w:rsidRPr="008B6881">
        <w:rPr>
          <w:rFonts w:asciiTheme="majorHAnsi" w:hAnsiTheme="majorHAnsi" w:cstheme="majorHAnsi"/>
          <w:szCs w:val="24"/>
          <w:vertAlign w:val="superscript"/>
        </w:rPr>
        <w:t>−/−</w:t>
      </w:r>
      <w:r w:rsidRPr="008B6881">
        <w:rPr>
          <w:rFonts w:asciiTheme="majorHAnsi" w:hAnsiTheme="majorHAnsi" w:cstheme="majorHAnsi"/>
          <w:szCs w:val="24"/>
        </w:rPr>
        <w:t xml:space="preserve"> mice by mating </w:t>
      </w:r>
      <w:r w:rsidRPr="008B6881">
        <w:rPr>
          <w:rFonts w:asciiTheme="majorHAnsi" w:hAnsiTheme="majorHAnsi" w:cstheme="majorHAnsi"/>
          <w:i/>
          <w:iCs/>
          <w:szCs w:val="24"/>
        </w:rPr>
        <w:t>Agpat2</w:t>
      </w:r>
      <w:r w:rsidRPr="008B6881">
        <w:rPr>
          <w:rFonts w:asciiTheme="majorHAnsi" w:hAnsiTheme="majorHAnsi" w:cstheme="majorHAnsi"/>
          <w:szCs w:val="24"/>
          <w:vertAlign w:val="superscript"/>
        </w:rPr>
        <w:t>+/−</w:t>
      </w:r>
      <w:r w:rsidRPr="008B6881">
        <w:rPr>
          <w:rFonts w:asciiTheme="majorHAnsi" w:hAnsiTheme="majorHAnsi" w:cstheme="majorHAnsi"/>
          <w:szCs w:val="24"/>
        </w:rPr>
        <w:t xml:space="preserve"> progenitors.</w:t>
      </w:r>
    </w:p>
    <w:p w14:paraId="42323401" w14:textId="77777777" w:rsidR="00D90AD7" w:rsidRPr="008B6881" w:rsidRDefault="00D90AD7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63CCB847" w14:textId="324A3EBC" w:rsidR="005F4800" w:rsidRPr="008B6881" w:rsidRDefault="3254AA41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Genotype </w:t>
      </w:r>
      <w:r w:rsidRPr="008B6881">
        <w:rPr>
          <w:rFonts w:asciiTheme="majorHAnsi" w:hAnsiTheme="majorHAnsi" w:cstheme="majorHAnsi"/>
          <w:i/>
          <w:iCs/>
          <w:szCs w:val="24"/>
        </w:rPr>
        <w:t>Agpat2</w:t>
      </w:r>
      <w:r w:rsidRPr="008B6881">
        <w:rPr>
          <w:rFonts w:asciiTheme="majorHAnsi" w:hAnsiTheme="majorHAnsi" w:cstheme="majorHAnsi"/>
          <w:szCs w:val="24"/>
          <w:vertAlign w:val="superscript"/>
        </w:rPr>
        <w:t>−/−</w:t>
      </w:r>
      <w:r w:rsidRPr="008B6881">
        <w:rPr>
          <w:rFonts w:asciiTheme="majorHAnsi" w:hAnsiTheme="majorHAnsi" w:cstheme="majorHAnsi"/>
          <w:szCs w:val="24"/>
        </w:rPr>
        <w:t xml:space="preserve"> mice as previously described</w:t>
      </w:r>
      <w:r w:rsidR="53377E61" w:rsidRPr="008B6881">
        <w:rPr>
          <w:rFonts w:asciiTheme="majorHAnsi" w:hAnsiTheme="majorHAnsi" w:cstheme="majorHAnsi"/>
          <w:szCs w:val="24"/>
          <w:vertAlign w:val="superscript"/>
        </w:rPr>
        <w:t>18</w:t>
      </w:r>
      <w:r w:rsidRPr="008B6881">
        <w:rPr>
          <w:rFonts w:asciiTheme="majorHAnsi" w:hAnsiTheme="majorHAnsi" w:cstheme="majorHAnsi"/>
          <w:szCs w:val="24"/>
        </w:rPr>
        <w:t>.</w:t>
      </w:r>
    </w:p>
    <w:p w14:paraId="3AF42B61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37A78FD3" w14:textId="2FC7F43E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Maintain mice under a 12:12 h light/dark cycle.</w:t>
      </w:r>
      <w:r w:rsidR="00D90AD7" w:rsidRPr="008B6881">
        <w:rPr>
          <w:rFonts w:asciiTheme="majorHAnsi" w:hAnsiTheme="majorHAnsi" w:cstheme="majorHAnsi"/>
          <w:szCs w:val="24"/>
        </w:rPr>
        <w:t xml:space="preserve"> </w:t>
      </w:r>
      <w:r w:rsidRPr="008B6881">
        <w:rPr>
          <w:rFonts w:asciiTheme="majorHAnsi" w:hAnsiTheme="majorHAnsi" w:cstheme="majorHAnsi"/>
          <w:szCs w:val="24"/>
        </w:rPr>
        <w:t>Provide chopped paper and cardboard cones as environmental enrichment.</w:t>
      </w:r>
    </w:p>
    <w:p w14:paraId="6B7DD680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324568DF" w14:textId="11BD3A66" w:rsidR="005F4800" w:rsidRPr="008B6881" w:rsidRDefault="55D91780" w:rsidP="008B6881">
      <w:pPr>
        <w:pStyle w:val="JoVENote"/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NOTE: Perform all animal procedures in accordance </w:t>
      </w:r>
      <w:r w:rsidR="00A55EFC" w:rsidRPr="008B6881">
        <w:rPr>
          <w:rFonts w:asciiTheme="majorHAnsi" w:hAnsiTheme="majorHAnsi" w:cstheme="majorHAnsi"/>
          <w:szCs w:val="24"/>
        </w:rPr>
        <w:t>with the institutional</w:t>
      </w:r>
      <w:r w:rsidR="002B5D3C" w:rsidRPr="008B6881">
        <w:rPr>
          <w:rFonts w:asciiTheme="majorHAnsi" w:hAnsiTheme="majorHAnsi" w:cstheme="majorHAnsi"/>
          <w:szCs w:val="24"/>
        </w:rPr>
        <w:t xml:space="preserve">, national and international </w:t>
      </w:r>
      <w:r w:rsidR="00A55EFC" w:rsidRPr="008B6881">
        <w:rPr>
          <w:rFonts w:asciiTheme="majorHAnsi" w:hAnsiTheme="majorHAnsi" w:cstheme="majorHAnsi"/>
          <w:szCs w:val="24"/>
        </w:rPr>
        <w:t>guidelines</w:t>
      </w:r>
      <w:r w:rsidRPr="008B6881">
        <w:rPr>
          <w:rFonts w:asciiTheme="majorHAnsi" w:hAnsiTheme="majorHAnsi" w:cstheme="majorHAnsi"/>
          <w:szCs w:val="24"/>
        </w:rPr>
        <w:t xml:space="preserve"> and </w:t>
      </w:r>
      <w:r w:rsidR="0A1C7DF4" w:rsidRPr="008B6881">
        <w:rPr>
          <w:rFonts w:asciiTheme="majorHAnsi" w:hAnsiTheme="majorHAnsi" w:cstheme="majorHAnsi"/>
          <w:szCs w:val="24"/>
        </w:rPr>
        <w:t xml:space="preserve">only after </w:t>
      </w:r>
      <w:r w:rsidRPr="008B6881">
        <w:rPr>
          <w:rFonts w:asciiTheme="majorHAnsi" w:hAnsiTheme="majorHAnsi" w:cstheme="majorHAnsi"/>
          <w:szCs w:val="24"/>
        </w:rPr>
        <w:t>the Institutional Animal Care and Use Committee (IACUC)</w:t>
      </w:r>
      <w:r w:rsidR="009C497C" w:rsidRPr="008B6881">
        <w:rPr>
          <w:rFonts w:asciiTheme="majorHAnsi" w:hAnsiTheme="majorHAnsi" w:cstheme="majorHAnsi"/>
          <w:szCs w:val="24"/>
        </w:rPr>
        <w:t xml:space="preserve"> has granted its approval</w:t>
      </w:r>
      <w:r w:rsidR="651F1123" w:rsidRPr="008B6881">
        <w:rPr>
          <w:rFonts w:asciiTheme="majorHAnsi" w:hAnsiTheme="majorHAnsi" w:cstheme="majorHAnsi"/>
          <w:szCs w:val="24"/>
        </w:rPr>
        <w:t xml:space="preserve">. </w:t>
      </w:r>
      <w:r w:rsidR="7556CD82" w:rsidRPr="008B6881">
        <w:rPr>
          <w:rFonts w:asciiTheme="majorHAnsi" w:hAnsiTheme="majorHAnsi" w:cstheme="majorHAnsi"/>
          <w:szCs w:val="24"/>
        </w:rPr>
        <w:t>T</w:t>
      </w:r>
      <w:r w:rsidR="4138E01A" w:rsidRPr="008B6881">
        <w:rPr>
          <w:rFonts w:asciiTheme="majorHAnsi" w:hAnsiTheme="majorHAnsi" w:cstheme="majorHAnsi"/>
          <w:szCs w:val="24"/>
        </w:rPr>
        <w:t xml:space="preserve">he procedures in this work were </w:t>
      </w:r>
      <w:r w:rsidR="3AC871E7" w:rsidRPr="008B6881">
        <w:rPr>
          <w:rFonts w:asciiTheme="majorHAnsi" w:hAnsiTheme="majorHAnsi" w:cstheme="majorHAnsi"/>
          <w:szCs w:val="24"/>
        </w:rPr>
        <w:t>approved</w:t>
      </w:r>
      <w:r w:rsidR="4138E01A" w:rsidRPr="008B6881">
        <w:rPr>
          <w:rFonts w:asciiTheme="majorHAnsi" w:hAnsiTheme="majorHAnsi" w:cstheme="majorHAnsi"/>
          <w:szCs w:val="24"/>
        </w:rPr>
        <w:t xml:space="preserve"> by</w:t>
      </w:r>
      <w:r w:rsidR="009C497C" w:rsidRPr="008B6881">
        <w:rPr>
          <w:rFonts w:asciiTheme="majorHAnsi" w:hAnsiTheme="majorHAnsi" w:cstheme="majorHAnsi"/>
          <w:szCs w:val="24"/>
        </w:rPr>
        <w:t xml:space="preserve"> </w:t>
      </w:r>
      <w:r w:rsidRPr="008B6881">
        <w:rPr>
          <w:rFonts w:asciiTheme="majorHAnsi" w:hAnsiTheme="majorHAnsi" w:cstheme="majorHAnsi"/>
          <w:szCs w:val="24"/>
        </w:rPr>
        <w:t>Pontificia Universidad Católica de Chile</w:t>
      </w:r>
      <w:r w:rsidR="00904DA0" w:rsidRPr="008B6881">
        <w:rPr>
          <w:rFonts w:asciiTheme="majorHAnsi" w:hAnsiTheme="majorHAnsi" w:cstheme="majorHAnsi"/>
          <w:szCs w:val="24"/>
        </w:rPr>
        <w:t xml:space="preserve"> </w:t>
      </w:r>
      <w:r w:rsidR="74AE0A21" w:rsidRPr="008B6881">
        <w:rPr>
          <w:rFonts w:asciiTheme="majorHAnsi" w:hAnsiTheme="majorHAnsi" w:cstheme="majorHAnsi"/>
          <w:szCs w:val="24"/>
        </w:rPr>
        <w:t>IACUC</w:t>
      </w:r>
      <w:r w:rsidR="00904DA0" w:rsidRPr="008B6881">
        <w:rPr>
          <w:rFonts w:asciiTheme="majorHAnsi" w:hAnsiTheme="majorHAnsi" w:cstheme="majorHAnsi"/>
          <w:szCs w:val="24"/>
        </w:rPr>
        <w:t xml:space="preserve"> under the</w:t>
      </w:r>
      <w:r w:rsidR="74AE0A21" w:rsidRPr="008B6881">
        <w:rPr>
          <w:rFonts w:asciiTheme="majorHAnsi" w:hAnsiTheme="majorHAnsi" w:cstheme="majorHAnsi"/>
          <w:szCs w:val="24"/>
        </w:rPr>
        <w:t xml:space="preserve"> </w:t>
      </w:r>
      <w:r w:rsidRPr="008B6881">
        <w:rPr>
          <w:rFonts w:asciiTheme="majorHAnsi" w:hAnsiTheme="majorHAnsi" w:cstheme="majorHAnsi"/>
          <w:szCs w:val="24"/>
        </w:rPr>
        <w:t xml:space="preserve">protocol </w:t>
      </w:r>
      <w:r w:rsidR="6E82C55F" w:rsidRPr="008B6881">
        <w:rPr>
          <w:rFonts w:asciiTheme="majorHAnsi" w:hAnsiTheme="majorHAnsi" w:cstheme="majorHAnsi"/>
          <w:szCs w:val="24"/>
        </w:rPr>
        <w:t xml:space="preserve"># </w:t>
      </w:r>
      <w:r w:rsidRPr="008B6881">
        <w:rPr>
          <w:rFonts w:asciiTheme="majorHAnsi" w:hAnsiTheme="majorHAnsi" w:cstheme="majorHAnsi"/>
          <w:szCs w:val="24"/>
        </w:rPr>
        <w:t>210609003.</w:t>
      </w:r>
    </w:p>
    <w:p w14:paraId="7CA0D536" w14:textId="0251D950" w:rsidR="4496BC78" w:rsidRPr="008B6881" w:rsidRDefault="4496BC78" w:rsidP="008B6881">
      <w:pPr>
        <w:pStyle w:val="JoVENote"/>
        <w:spacing w:after="0"/>
        <w:jc w:val="both"/>
        <w:rPr>
          <w:rFonts w:asciiTheme="majorHAnsi" w:hAnsiTheme="majorHAnsi" w:cstheme="majorHAnsi"/>
          <w:szCs w:val="24"/>
        </w:rPr>
      </w:pPr>
    </w:p>
    <w:p w14:paraId="2BD4F6F9" w14:textId="059110F7" w:rsidR="005F4800" w:rsidRPr="008B6881" w:rsidRDefault="00743D8E" w:rsidP="008B6881">
      <w:pPr>
        <w:pStyle w:val="Heading1"/>
        <w:numPr>
          <w:ilvl w:val="0"/>
          <w:numId w:val="14"/>
        </w:numPr>
        <w:spacing w:before="0" w:after="0"/>
        <w:ind w:left="0" w:firstLine="0"/>
        <w:jc w:val="both"/>
        <w:rPr>
          <w:rFonts w:cstheme="majorHAnsi"/>
          <w:color w:val="auto"/>
          <w:szCs w:val="24"/>
        </w:rPr>
      </w:pPr>
      <w:r w:rsidRPr="008B6881">
        <w:rPr>
          <w:rFonts w:cstheme="majorHAnsi"/>
          <w:color w:val="auto"/>
          <w:szCs w:val="24"/>
        </w:rPr>
        <w:t>Statistical analysis</w:t>
      </w:r>
    </w:p>
    <w:p w14:paraId="069E64E3" w14:textId="77777777" w:rsidR="00D90AD7" w:rsidRPr="008B6881" w:rsidRDefault="00D90AD7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24137EA2" w14:textId="49FCFC61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Record the number of independent experimental replicates and the statistical tests used in each figure legend.</w:t>
      </w:r>
    </w:p>
    <w:p w14:paraId="258A6979" w14:textId="77777777" w:rsidR="00D90AD7" w:rsidRPr="008B6881" w:rsidRDefault="00D90AD7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1AEDCDF8" w14:textId="36F9A893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Identify outliers using the ROUT method.</w:t>
      </w:r>
    </w:p>
    <w:p w14:paraId="7679BAA1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300350A7" w14:textId="4A1CEB4B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Assess the normality of mRNA expression data using the Shapiro-Wilk test.</w:t>
      </w:r>
    </w:p>
    <w:p w14:paraId="26F96ED0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0A39DAEE" w14:textId="2A8BC01B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Compare more than two groups using one-way ANOVA followed by Dunnett’s post-test.</w:t>
      </w:r>
    </w:p>
    <w:p w14:paraId="143E067E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6890A224" w14:textId="0BFAAAFA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Set statistical significance at p &lt; 0.05.</w:t>
      </w:r>
    </w:p>
    <w:p w14:paraId="729652FD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0FA93C70" w14:textId="68FC3106" w:rsidR="005F4800" w:rsidRPr="008B6881" w:rsidRDefault="1DB5F2FA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Present graph data as the mean ± </w:t>
      </w:r>
      <w:r w:rsidR="3F7E7D48" w:rsidRPr="008B6881">
        <w:rPr>
          <w:rFonts w:asciiTheme="majorHAnsi" w:hAnsiTheme="majorHAnsi" w:cstheme="majorHAnsi"/>
          <w:szCs w:val="24"/>
        </w:rPr>
        <w:t>standard deviation (SD)</w:t>
      </w:r>
      <w:r w:rsidRPr="008B6881">
        <w:rPr>
          <w:rFonts w:asciiTheme="majorHAnsi" w:hAnsiTheme="majorHAnsi" w:cstheme="majorHAnsi"/>
          <w:szCs w:val="24"/>
        </w:rPr>
        <w:t>.</w:t>
      </w:r>
    </w:p>
    <w:p w14:paraId="16A64673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6A8043BD" w14:textId="1E3DCD9E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Assess differences in lipid droplet (LD) size distribution using a Chi-square test of independence.</w:t>
      </w:r>
    </w:p>
    <w:p w14:paraId="49E98270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55B3AC8F" w14:textId="29A22763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Perform the Chi-square test in RStudio (v4.5.2) using the </w:t>
      </w:r>
      <w:r w:rsidRPr="008B6881">
        <w:rPr>
          <w:rFonts w:asciiTheme="majorHAnsi" w:hAnsiTheme="majorHAnsi" w:cstheme="majorHAnsi"/>
          <w:b/>
          <w:bCs/>
          <w:szCs w:val="24"/>
        </w:rPr>
        <w:t>chisq.</w:t>
      </w:r>
      <w:proofErr w:type="gramStart"/>
      <w:r w:rsidRPr="008B6881">
        <w:rPr>
          <w:rFonts w:asciiTheme="majorHAnsi" w:hAnsiTheme="majorHAnsi" w:cstheme="majorHAnsi"/>
          <w:b/>
          <w:bCs/>
          <w:szCs w:val="24"/>
        </w:rPr>
        <w:t>test(</w:t>
      </w:r>
      <w:proofErr w:type="gramEnd"/>
      <w:r w:rsidRPr="008B6881">
        <w:rPr>
          <w:rFonts w:asciiTheme="majorHAnsi" w:hAnsiTheme="majorHAnsi" w:cstheme="majorHAnsi"/>
          <w:b/>
          <w:bCs/>
          <w:szCs w:val="24"/>
        </w:rPr>
        <w:t>)</w:t>
      </w:r>
      <w:r w:rsidRPr="008B6881">
        <w:rPr>
          <w:rFonts w:asciiTheme="majorHAnsi" w:hAnsiTheme="majorHAnsi" w:cstheme="majorHAnsi"/>
          <w:szCs w:val="24"/>
        </w:rPr>
        <w:t xml:space="preserve"> function from the base package.</w:t>
      </w:r>
    </w:p>
    <w:p w14:paraId="6966D910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68EFD04D" w14:textId="4AA91DD2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Use standardized residuals from the Chi-square test to interpret overrepresented and underrepresented LD size classes.</w:t>
      </w:r>
    </w:p>
    <w:p w14:paraId="626B5502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5316F875" w14:textId="783D1C21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Interpret positive standardized residuals as observed frequencies higher than expected and negative standardized residuals as observed frequencies lower than expected.</w:t>
      </w:r>
    </w:p>
    <w:p w14:paraId="2A3B8CFC" w14:textId="77777777" w:rsidR="00D90AD7" w:rsidRPr="008B6881" w:rsidRDefault="00D90AD7" w:rsidP="008B6881">
      <w:pPr>
        <w:pStyle w:val="JoVENote"/>
        <w:spacing w:after="0"/>
        <w:jc w:val="both"/>
        <w:rPr>
          <w:rFonts w:asciiTheme="majorHAnsi" w:hAnsiTheme="majorHAnsi" w:cstheme="majorHAnsi"/>
          <w:szCs w:val="24"/>
        </w:rPr>
      </w:pPr>
    </w:p>
    <w:p w14:paraId="32183069" w14:textId="782F50E4" w:rsidR="005F4800" w:rsidRPr="008B6881" w:rsidRDefault="00743D8E" w:rsidP="008B6881">
      <w:pPr>
        <w:pStyle w:val="Heading1"/>
        <w:numPr>
          <w:ilvl w:val="0"/>
          <w:numId w:val="14"/>
        </w:numPr>
        <w:spacing w:before="0" w:after="0"/>
        <w:ind w:left="0" w:firstLine="0"/>
        <w:jc w:val="both"/>
        <w:rPr>
          <w:rFonts w:cstheme="majorHAnsi"/>
          <w:color w:val="auto"/>
          <w:szCs w:val="24"/>
        </w:rPr>
      </w:pPr>
      <w:r w:rsidRPr="008B6881">
        <w:rPr>
          <w:rFonts w:cstheme="majorHAnsi"/>
          <w:color w:val="auto"/>
          <w:szCs w:val="24"/>
        </w:rPr>
        <w:lastRenderedPageBreak/>
        <w:t>Flow cytometry acquisition and analysis</w:t>
      </w:r>
    </w:p>
    <w:p w14:paraId="113D4FE9" w14:textId="77777777" w:rsidR="00D90AD7" w:rsidRPr="008B6881" w:rsidRDefault="00D90AD7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6505EB3B" w14:textId="4CD6123A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Perform flow cytometry using a cell analyzer equipped with forward scatter (FSC), side scatter (SSC), and far-red fluorescence detection capabilities.</w:t>
      </w:r>
    </w:p>
    <w:p w14:paraId="62FE3221" w14:textId="77777777" w:rsidR="00D90AD7" w:rsidRPr="008B6881" w:rsidRDefault="00D90AD7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2F1E3464" w14:textId="0CF71E1C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Acquire data using the instrument acquisition software and record 30,000 events per sample.</w:t>
      </w:r>
    </w:p>
    <w:p w14:paraId="316BBB24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34CCA0C4" w14:textId="291A828B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Set the FSC photomultiplier tube (PMT) voltage to </w:t>
      </w:r>
      <w:r w:rsidRPr="008B6881">
        <w:rPr>
          <w:rFonts w:asciiTheme="majorHAnsi" w:hAnsiTheme="majorHAnsi" w:cstheme="majorHAnsi"/>
          <w:b/>
          <w:bCs/>
          <w:szCs w:val="24"/>
        </w:rPr>
        <w:t>273 V</w:t>
      </w:r>
      <w:r w:rsidRPr="008B6881">
        <w:rPr>
          <w:rFonts w:asciiTheme="majorHAnsi" w:hAnsiTheme="majorHAnsi" w:cstheme="majorHAnsi"/>
          <w:szCs w:val="24"/>
        </w:rPr>
        <w:t xml:space="preserve"> and the SSC PMT voltage to </w:t>
      </w:r>
      <w:r w:rsidRPr="008B6881">
        <w:rPr>
          <w:rFonts w:asciiTheme="majorHAnsi" w:hAnsiTheme="majorHAnsi" w:cstheme="majorHAnsi"/>
          <w:b/>
          <w:bCs/>
          <w:szCs w:val="24"/>
        </w:rPr>
        <w:t>127 V</w:t>
      </w:r>
      <w:r w:rsidRPr="008B6881">
        <w:rPr>
          <w:rFonts w:asciiTheme="majorHAnsi" w:hAnsiTheme="majorHAnsi" w:cstheme="majorHAnsi"/>
          <w:szCs w:val="24"/>
        </w:rPr>
        <w:t>. Record area, height, and width parameters for FSC and SSC.</w:t>
      </w:r>
    </w:p>
    <w:p w14:paraId="24CB5F7A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29406123" w14:textId="6B998BD4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Set the fluorescence PMT voltages as follows: Alexa Fluor 647 channel, 672 V; FITC channel, 208 V; PE channel, 430 V; PE-Cy7 channel, 662 V; BV421 channel, 318 V; BV510 channel, 484 V; APC-Alexa 680 channel, 380 V; and APC-Alexa 700 channel, 358 V.</w:t>
      </w:r>
    </w:p>
    <w:p w14:paraId="6647CD3D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25DB3EB4" w14:textId="31CB84B5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Verify instrument performance before each run using cytometer setup and tracking beads according to the manufacturer’s instructions.</w:t>
      </w:r>
    </w:p>
    <w:p w14:paraId="30D9E24E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670141B3" w14:textId="22E10568" w:rsidR="005F4800" w:rsidRPr="008B6881" w:rsidRDefault="3254AA41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Open each flow cytometry standard file in the analysis software</w:t>
      </w:r>
      <w:r w:rsidR="56975CF6" w:rsidRPr="008B6881">
        <w:rPr>
          <w:rFonts w:asciiTheme="majorHAnsi" w:hAnsiTheme="majorHAnsi" w:cstheme="majorHAnsi"/>
          <w:szCs w:val="24"/>
        </w:rPr>
        <w:t xml:space="preserve"> (https://floreada.io./analysis).</w:t>
      </w:r>
    </w:p>
    <w:p w14:paraId="2D70B7A2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364266B7" w14:textId="440EC873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Generate an FSC-A versus SSC-A plot and gate the main cell population to exclude debris.</w:t>
      </w:r>
    </w:p>
    <w:p w14:paraId="73F2C8D0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2C6B4988" w14:textId="4F48701E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Generate sequential FSC-H versus FSC-W and SSC-H versus SSC-W plots from the gated cell population and gate single cells to exclude doublets.</w:t>
      </w:r>
    </w:p>
    <w:p w14:paraId="36FAD19E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2AF0B216" w14:textId="23016CDC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Plot the far-red fluorescence intensity from the singlet gate to identify </w:t>
      </w:r>
      <w:proofErr w:type="spellStart"/>
      <w:r w:rsidRPr="008B6881">
        <w:rPr>
          <w:rFonts w:asciiTheme="majorHAnsi" w:hAnsiTheme="majorHAnsi" w:cstheme="majorHAnsi"/>
          <w:szCs w:val="24"/>
        </w:rPr>
        <w:t>MitoTracker</w:t>
      </w:r>
      <w:proofErr w:type="spellEnd"/>
      <w:r w:rsidRPr="008B6881">
        <w:rPr>
          <w:rFonts w:asciiTheme="majorHAnsi" w:hAnsiTheme="majorHAnsi" w:cstheme="majorHAnsi"/>
          <w:szCs w:val="24"/>
        </w:rPr>
        <w:t xml:space="preserve"> Deep Red-positive cells.</w:t>
      </w:r>
    </w:p>
    <w:p w14:paraId="34079C3C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6EECBB00" w14:textId="45A7CC39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Use recipient cells without mitochondrial transfer as the negative control to set the background fluorescence threshold.</w:t>
      </w:r>
    </w:p>
    <w:p w14:paraId="26207150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0ACED402" w14:textId="1A2C9068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Apply the same gates and fluorescence threshold to all samples in the experiment.</w:t>
      </w:r>
    </w:p>
    <w:p w14:paraId="231FE8A4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3BA7FE82" w14:textId="766C3B90" w:rsidR="005F4800" w:rsidRPr="008B6881" w:rsidRDefault="00743D8E" w:rsidP="008B6881">
      <w:pPr>
        <w:pStyle w:val="ListParagraph"/>
        <w:numPr>
          <w:ilvl w:val="1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Export the percentage of MitoTracker Deep Red-positive cells and the fluorescence intensity values for downstream analysis.</w:t>
      </w:r>
    </w:p>
    <w:p w14:paraId="6613EF0B" w14:textId="6C817624" w:rsidR="00D90AD7" w:rsidRPr="008B6881" w:rsidRDefault="00743D8E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noProof/>
          <w:szCs w:val="24"/>
        </w:rPr>
        <w:drawing>
          <wp:inline distT="0" distB="0" distL="0" distR="0" wp14:anchorId="1E8E02E8" wp14:editId="49122E3C">
            <wp:extent cx="5724144" cy="2286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_image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2286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AD7" w:rsidRPr="008B6881">
        <w:rPr>
          <w:rFonts w:asciiTheme="majorHAnsi" w:hAnsiTheme="majorHAnsi" w:cstheme="majorHAnsi"/>
          <w:b/>
          <w:bCs/>
          <w:szCs w:val="24"/>
        </w:rPr>
        <w:t xml:space="preserve">Supplemental Figure S1: Gating Strategy. </w:t>
      </w:r>
      <w:r w:rsidR="00D90AD7" w:rsidRPr="008B6881">
        <w:rPr>
          <w:rFonts w:asciiTheme="majorHAnsi" w:hAnsiTheme="majorHAnsi" w:cstheme="majorHAnsi"/>
          <w:szCs w:val="24"/>
        </w:rPr>
        <w:t xml:space="preserve">(A) Cell selection. </w:t>
      </w:r>
      <w:r w:rsidR="00D90AD7" w:rsidRPr="008B6881">
        <w:rPr>
          <w:rFonts w:asciiTheme="majorHAnsi" w:hAnsiTheme="majorHAnsi" w:cstheme="majorHAnsi"/>
          <w:b/>
          <w:bCs/>
          <w:szCs w:val="24"/>
        </w:rPr>
        <w:t>(B)</w:t>
      </w:r>
      <w:r w:rsidR="00D90AD7" w:rsidRPr="008B6881">
        <w:rPr>
          <w:rFonts w:asciiTheme="majorHAnsi" w:hAnsiTheme="majorHAnsi" w:cstheme="majorHAnsi"/>
          <w:szCs w:val="24"/>
        </w:rPr>
        <w:t xml:space="preserve"> Singlet Selection. </w:t>
      </w:r>
      <w:r w:rsidR="00D90AD7" w:rsidRPr="008B6881">
        <w:rPr>
          <w:rFonts w:asciiTheme="majorHAnsi" w:hAnsiTheme="majorHAnsi" w:cstheme="majorHAnsi"/>
          <w:b/>
          <w:bCs/>
          <w:szCs w:val="24"/>
        </w:rPr>
        <w:t xml:space="preserve">(C) </w:t>
      </w:r>
      <w:r w:rsidR="00D90AD7" w:rsidRPr="008B6881">
        <w:rPr>
          <w:rFonts w:asciiTheme="majorHAnsi" w:hAnsiTheme="majorHAnsi" w:cstheme="majorHAnsi"/>
          <w:szCs w:val="24"/>
        </w:rPr>
        <w:t>Mitotracker Deep Red Intensity.</w:t>
      </w:r>
    </w:p>
    <w:p w14:paraId="1543D375" w14:textId="77777777" w:rsidR="00D90AD7" w:rsidRPr="008B6881" w:rsidRDefault="00D90AD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76F0B91B" w14:textId="290D481E" w:rsidR="005F4800" w:rsidRPr="008B6881" w:rsidRDefault="00743D8E" w:rsidP="008B6881">
      <w:pPr>
        <w:pStyle w:val="Heading1"/>
        <w:numPr>
          <w:ilvl w:val="0"/>
          <w:numId w:val="14"/>
        </w:numPr>
        <w:spacing w:before="0" w:after="0"/>
        <w:ind w:left="0" w:firstLine="0"/>
        <w:jc w:val="both"/>
        <w:rPr>
          <w:rFonts w:cstheme="majorHAnsi"/>
          <w:color w:val="auto"/>
          <w:szCs w:val="24"/>
        </w:rPr>
      </w:pPr>
      <w:r w:rsidRPr="008B6881">
        <w:rPr>
          <w:rFonts w:cstheme="majorHAnsi"/>
          <w:color w:val="auto"/>
          <w:szCs w:val="24"/>
        </w:rPr>
        <w:t>Microscopy and image acquisition</w:t>
      </w:r>
    </w:p>
    <w:p w14:paraId="04AAD72B" w14:textId="77777777" w:rsidR="00A7372B" w:rsidRPr="008B6881" w:rsidRDefault="00A7372B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0BFA2C42" w14:textId="09B26C0D" w:rsidR="005F4800" w:rsidRPr="008B6881" w:rsidRDefault="00743D8E" w:rsidP="008B6881">
      <w:pPr>
        <w:pStyle w:val="Heading2"/>
        <w:numPr>
          <w:ilvl w:val="1"/>
          <w:numId w:val="14"/>
        </w:numPr>
        <w:spacing w:before="0" w:after="0"/>
        <w:ind w:left="0" w:firstLine="0"/>
        <w:jc w:val="both"/>
        <w:rPr>
          <w:rFonts w:cstheme="majorHAnsi"/>
          <w:b w:val="0"/>
          <w:bCs w:val="0"/>
          <w:color w:val="auto"/>
          <w:szCs w:val="24"/>
        </w:rPr>
      </w:pPr>
      <w:r w:rsidRPr="008B6881">
        <w:rPr>
          <w:rFonts w:cstheme="majorHAnsi"/>
          <w:b w:val="0"/>
          <w:bCs w:val="0"/>
          <w:color w:val="auto"/>
          <w:szCs w:val="24"/>
        </w:rPr>
        <w:t>Live-cell imaging</w:t>
      </w:r>
    </w:p>
    <w:p w14:paraId="4F18E913" w14:textId="77777777" w:rsidR="00A7372B" w:rsidRPr="008B6881" w:rsidRDefault="00A7372B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1780A5BD" w14:textId="087CCBA5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Acquire live-cell confocal images using an inverted confocal laser scanning microscope controlled by the acquisition software.</w:t>
      </w:r>
    </w:p>
    <w:p w14:paraId="035FAD02" w14:textId="77777777" w:rsidR="00A7372B" w:rsidRPr="008B6881" w:rsidRDefault="00A7372B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3D62FB42" w14:textId="09FF8E4F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Use a 60x oil-immersion objective with a numerical aperture of 1.4.</w:t>
      </w:r>
    </w:p>
    <w:p w14:paraId="0FB0BAEB" w14:textId="77777777" w:rsidR="00A7372B" w:rsidRPr="008B6881" w:rsidRDefault="00A7372B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194DE447" w14:textId="795344C0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Maintain the refractive index at 1.515 and set the confocal pinhole to 30.0 µm.</w:t>
      </w:r>
    </w:p>
    <w:p w14:paraId="44047041" w14:textId="77777777" w:rsidR="00A7372B" w:rsidRPr="008B6881" w:rsidRDefault="00A7372B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656DA26F" w14:textId="32CB70D4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Capture images at 1024 × 1024 pixels with a 12-bit depth.</w:t>
      </w:r>
      <w:r w:rsidR="00A7372B" w:rsidRPr="008B6881">
        <w:rPr>
          <w:rFonts w:asciiTheme="majorHAnsi" w:hAnsiTheme="majorHAnsi" w:cstheme="majorHAnsi"/>
          <w:szCs w:val="24"/>
        </w:rPr>
        <w:t xml:space="preserve"> </w:t>
      </w:r>
      <w:r w:rsidRPr="008B6881">
        <w:rPr>
          <w:rFonts w:asciiTheme="majorHAnsi" w:hAnsiTheme="majorHAnsi" w:cstheme="majorHAnsi"/>
          <w:szCs w:val="24"/>
        </w:rPr>
        <w:t>Set the lateral pixel size to 0.2104 µm.</w:t>
      </w:r>
    </w:p>
    <w:p w14:paraId="6EEA6FAF" w14:textId="77777777" w:rsidR="00A7372B" w:rsidRPr="008B6881" w:rsidRDefault="00A7372B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39FD6C91" w14:textId="1CD64969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Acquire images using a Galvano scanner and set line averaging to 2 to improve the signal-to-noise ratio.</w:t>
      </w:r>
    </w:p>
    <w:p w14:paraId="4E40890B" w14:textId="77777777" w:rsidR="00A7372B" w:rsidRPr="008B6881" w:rsidRDefault="00A7372B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4DEDE328" w14:textId="13969247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Excite the FITC channel with the 488 nm laser line at 4.0% transmission power and collect emission using a 525/50 nm filter set.</w:t>
      </w:r>
      <w:r w:rsidR="00A7372B" w:rsidRPr="008B6881">
        <w:rPr>
          <w:rFonts w:asciiTheme="majorHAnsi" w:hAnsiTheme="majorHAnsi" w:cstheme="majorHAnsi"/>
          <w:szCs w:val="24"/>
        </w:rPr>
        <w:t xml:space="preserve"> </w:t>
      </w:r>
      <w:r w:rsidRPr="008B6881">
        <w:rPr>
          <w:rFonts w:asciiTheme="majorHAnsi" w:hAnsiTheme="majorHAnsi" w:cstheme="majorHAnsi"/>
          <w:szCs w:val="24"/>
        </w:rPr>
        <w:t>Set the FITC detector PMT high voltage to 90.</w:t>
      </w:r>
    </w:p>
    <w:p w14:paraId="61C94DE2" w14:textId="77777777" w:rsidR="00A7372B" w:rsidRPr="008B6881" w:rsidRDefault="00A7372B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6DEE1850" w14:textId="5B334939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Excite the Cy5 channel with the 640 nm laser line at 8.0% transmission power and collect emission using a 561 nm long-pass filter.</w:t>
      </w:r>
      <w:r w:rsidR="00A7372B" w:rsidRPr="008B6881">
        <w:rPr>
          <w:rFonts w:asciiTheme="majorHAnsi" w:hAnsiTheme="majorHAnsi" w:cstheme="majorHAnsi"/>
          <w:szCs w:val="24"/>
        </w:rPr>
        <w:t xml:space="preserve"> </w:t>
      </w:r>
      <w:r w:rsidRPr="008B6881">
        <w:rPr>
          <w:rFonts w:asciiTheme="majorHAnsi" w:hAnsiTheme="majorHAnsi" w:cstheme="majorHAnsi"/>
          <w:szCs w:val="24"/>
        </w:rPr>
        <w:t>Set the Cy5 detector PMT high voltage to 70.</w:t>
      </w:r>
    </w:p>
    <w:p w14:paraId="2B89A95E" w14:textId="77777777" w:rsidR="00A7372B" w:rsidRPr="008B6881" w:rsidRDefault="00A7372B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6227B6E9" w14:textId="78CE2D5A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Use a 405/488/561/640 multiband dichroic mirror for both fluorescence tracks.</w:t>
      </w:r>
    </w:p>
    <w:p w14:paraId="3748A427" w14:textId="77777777" w:rsidR="00A7372B" w:rsidRPr="008B6881" w:rsidRDefault="00A7372B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28A1009B" w14:textId="4FF333FD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Save the acquired image files with sample identifiers, fluorophore channels, magnification, and acquisition date.</w:t>
      </w:r>
    </w:p>
    <w:p w14:paraId="3169CFCB" w14:textId="77777777" w:rsidR="00A7372B" w:rsidRPr="008B6881" w:rsidRDefault="00A7372B" w:rsidP="008B6881">
      <w:pPr>
        <w:pStyle w:val="JoVENote"/>
        <w:spacing w:after="0"/>
        <w:jc w:val="both"/>
        <w:rPr>
          <w:rFonts w:asciiTheme="majorHAnsi" w:hAnsiTheme="majorHAnsi" w:cstheme="majorHAnsi"/>
          <w:szCs w:val="24"/>
        </w:rPr>
      </w:pPr>
    </w:p>
    <w:p w14:paraId="14723448" w14:textId="0876EC59" w:rsidR="005F4800" w:rsidRPr="008B6881" w:rsidRDefault="00743D8E" w:rsidP="008B6881">
      <w:pPr>
        <w:pStyle w:val="Heading2"/>
        <w:numPr>
          <w:ilvl w:val="1"/>
          <w:numId w:val="14"/>
        </w:numPr>
        <w:spacing w:before="0" w:after="0"/>
        <w:ind w:left="0" w:firstLine="0"/>
        <w:jc w:val="both"/>
        <w:rPr>
          <w:rFonts w:cstheme="majorHAnsi"/>
          <w:b w:val="0"/>
          <w:bCs w:val="0"/>
          <w:color w:val="auto"/>
          <w:szCs w:val="24"/>
        </w:rPr>
      </w:pPr>
      <w:r w:rsidRPr="008B6881">
        <w:rPr>
          <w:rFonts w:cstheme="majorHAnsi"/>
          <w:b w:val="0"/>
          <w:bCs w:val="0"/>
          <w:color w:val="auto"/>
          <w:szCs w:val="24"/>
        </w:rPr>
        <w:t>Fixed-cell imaging</w:t>
      </w:r>
    </w:p>
    <w:p w14:paraId="3E98D6D8" w14:textId="77777777" w:rsidR="00A7372B" w:rsidRPr="008B6881" w:rsidRDefault="00A7372B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7C4C7988" w14:textId="07EB0DA4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Acquire fixed-cell fluorescence images using a confocal laser scanning microscope equipped with an </w:t>
      </w:r>
      <w:proofErr w:type="spellStart"/>
      <w:r w:rsidRPr="008B6881">
        <w:rPr>
          <w:rFonts w:asciiTheme="majorHAnsi" w:hAnsiTheme="majorHAnsi" w:cstheme="majorHAnsi"/>
          <w:szCs w:val="24"/>
        </w:rPr>
        <w:t>Airyscan</w:t>
      </w:r>
      <w:proofErr w:type="spellEnd"/>
      <w:r w:rsidRPr="008B6881">
        <w:rPr>
          <w:rFonts w:asciiTheme="majorHAnsi" w:hAnsiTheme="majorHAnsi" w:cstheme="majorHAnsi"/>
          <w:szCs w:val="24"/>
        </w:rPr>
        <w:t xml:space="preserve"> detector.</w:t>
      </w:r>
    </w:p>
    <w:p w14:paraId="7AF4443F" w14:textId="77777777" w:rsidR="00A7372B" w:rsidRPr="008B6881" w:rsidRDefault="00A7372B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1CDF4C45" w14:textId="077EB048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Use a 10x/0.45 air objective for image acquisition.</w:t>
      </w:r>
    </w:p>
    <w:p w14:paraId="4213AA72" w14:textId="77777777" w:rsidR="00A7372B" w:rsidRPr="008B6881" w:rsidRDefault="00A7372B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1C928452" w14:textId="2D48B402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Capture images at 6412 × 6412 pixels with a 16-bit depth.</w:t>
      </w:r>
      <w:r w:rsidR="00A7372B" w:rsidRPr="008B6881">
        <w:rPr>
          <w:rFonts w:asciiTheme="majorHAnsi" w:hAnsiTheme="majorHAnsi" w:cstheme="majorHAnsi"/>
          <w:szCs w:val="24"/>
        </w:rPr>
        <w:t xml:space="preserve"> </w:t>
      </w:r>
      <w:r w:rsidRPr="008B6881">
        <w:rPr>
          <w:rFonts w:asciiTheme="majorHAnsi" w:hAnsiTheme="majorHAnsi" w:cstheme="majorHAnsi"/>
          <w:szCs w:val="24"/>
        </w:rPr>
        <w:t>Set the lateral pixel size to 0.1323 µm and the digital zoom to 1.0x.</w:t>
      </w:r>
    </w:p>
    <w:p w14:paraId="0619F7EB" w14:textId="77777777" w:rsidR="00A7372B" w:rsidRPr="008B6881" w:rsidRDefault="00A7372B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3BEAFA8E" w14:textId="1FF85FE4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Excite samples using a 488 nm argon laser at 2.0% transmission power.</w:t>
      </w:r>
    </w:p>
    <w:p w14:paraId="0C652991" w14:textId="77777777" w:rsidR="00A7372B" w:rsidRPr="008B6881" w:rsidRDefault="00A7372B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409AFF57" w14:textId="79FA310F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Collect emission using a BP 495-550 + LP 570 filter set.</w:t>
      </w:r>
    </w:p>
    <w:p w14:paraId="33590AA5" w14:textId="77777777" w:rsidR="00A7372B" w:rsidRPr="008B6881" w:rsidRDefault="00A7372B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154279B6" w14:textId="4DCD35EA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Set the detector gain to 750 and the virtual pinhole size to 8.89 AU.</w:t>
      </w:r>
    </w:p>
    <w:p w14:paraId="7EB05581" w14:textId="77777777" w:rsidR="00A7372B" w:rsidRPr="008B6881" w:rsidRDefault="00A7372B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3243EB13" w14:textId="4F96FFDD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Acquire data in Fast </w:t>
      </w:r>
      <w:proofErr w:type="spellStart"/>
      <w:r w:rsidRPr="008B6881">
        <w:rPr>
          <w:rFonts w:asciiTheme="majorHAnsi" w:hAnsiTheme="majorHAnsi" w:cstheme="majorHAnsi"/>
          <w:szCs w:val="24"/>
        </w:rPr>
        <w:t>Airyscan</w:t>
      </w:r>
      <w:proofErr w:type="spellEnd"/>
      <w:r w:rsidRPr="008B6881">
        <w:rPr>
          <w:rFonts w:asciiTheme="majorHAnsi" w:hAnsiTheme="majorHAnsi" w:cstheme="majorHAnsi"/>
          <w:szCs w:val="24"/>
        </w:rPr>
        <w:t xml:space="preserve"> 2D mode.</w:t>
      </w:r>
    </w:p>
    <w:p w14:paraId="4D304369" w14:textId="77777777" w:rsidR="00A7372B" w:rsidRPr="008B6881" w:rsidRDefault="00A7372B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729DF4F7" w14:textId="15F27A4F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Process images after acquisition using the automated Airyscan deconvolution algorithm in the microscope software.</w:t>
      </w:r>
    </w:p>
    <w:p w14:paraId="2654955B" w14:textId="77777777" w:rsidR="00A7372B" w:rsidRPr="008B6881" w:rsidRDefault="00A7372B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30CBA95C" w14:textId="01CD8752" w:rsidR="005F4800" w:rsidRPr="008B6881" w:rsidRDefault="00743D8E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Apply a Super Resolution parameter of 2.99 for the 488 nm channel.</w:t>
      </w:r>
    </w:p>
    <w:p w14:paraId="40651B1A" w14:textId="77777777" w:rsidR="00A7372B" w:rsidRPr="008B6881" w:rsidRDefault="00A7372B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3F1D011B" w14:textId="435E4B5B" w:rsidR="3254AA41" w:rsidRPr="008B6881" w:rsidRDefault="02CC3E4F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Save the processed image files with sample identifiers, channel information, magnification, and acquisition date</w:t>
      </w:r>
      <w:r w:rsidR="229661CA" w:rsidRPr="008B6881">
        <w:rPr>
          <w:rFonts w:asciiTheme="majorHAnsi" w:hAnsiTheme="majorHAnsi" w:cstheme="majorHAnsi"/>
          <w:szCs w:val="24"/>
        </w:rPr>
        <w:t>.</w:t>
      </w:r>
    </w:p>
    <w:p w14:paraId="4AFD5E04" w14:textId="1E6A206C" w:rsidR="07025D57" w:rsidRPr="008B6881" w:rsidRDefault="07025D57" w:rsidP="008B6881">
      <w:pPr>
        <w:pStyle w:val="Heading2"/>
        <w:spacing w:before="0" w:after="0"/>
        <w:jc w:val="both"/>
        <w:rPr>
          <w:rFonts w:cstheme="majorHAnsi"/>
          <w:b w:val="0"/>
          <w:bCs w:val="0"/>
          <w:color w:val="auto"/>
          <w:szCs w:val="24"/>
        </w:rPr>
      </w:pPr>
    </w:p>
    <w:p w14:paraId="438A1354" w14:textId="3019694F" w:rsidR="3A257EFC" w:rsidRPr="008B6881" w:rsidRDefault="15698F6B" w:rsidP="008B6881">
      <w:pPr>
        <w:pStyle w:val="Heading2"/>
        <w:spacing w:before="0" w:after="0"/>
        <w:jc w:val="both"/>
        <w:rPr>
          <w:rFonts w:cstheme="majorHAnsi"/>
          <w:color w:val="auto"/>
          <w:szCs w:val="24"/>
        </w:rPr>
      </w:pPr>
      <w:r w:rsidRPr="008B6881">
        <w:rPr>
          <w:rFonts w:cstheme="majorHAnsi"/>
          <w:b w:val="0"/>
          <w:bCs w:val="0"/>
          <w:color w:val="auto"/>
          <w:szCs w:val="24"/>
        </w:rPr>
        <w:t xml:space="preserve">4.3. </w:t>
      </w:r>
      <w:r w:rsidR="5B38B33C" w:rsidRPr="008B6881">
        <w:rPr>
          <w:rFonts w:cstheme="majorHAnsi"/>
          <w:b w:val="0"/>
          <w:bCs w:val="0"/>
          <w:color w:val="auto"/>
          <w:szCs w:val="24"/>
        </w:rPr>
        <w:t>TEM imaging</w:t>
      </w:r>
    </w:p>
    <w:p w14:paraId="3476D2B4" w14:textId="10DA9438" w:rsidR="07025D57" w:rsidRPr="008B6881" w:rsidRDefault="07025D5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70AF34FE" w14:textId="52371A0A" w:rsidR="7E76DEB6" w:rsidRPr="008B6881" w:rsidRDefault="592E7C9C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4.3.1. </w:t>
      </w:r>
      <w:r w:rsidR="10D7660F" w:rsidRPr="008B6881">
        <w:rPr>
          <w:rFonts w:asciiTheme="majorHAnsi" w:hAnsiTheme="majorHAnsi" w:cstheme="majorHAnsi"/>
          <w:szCs w:val="24"/>
        </w:rPr>
        <w:t xml:space="preserve">Visualize the grids using a transmission electron microscope. </w:t>
      </w:r>
      <w:r w:rsidR="10CD7543" w:rsidRPr="008B6881">
        <w:rPr>
          <w:rFonts w:asciiTheme="majorHAnsi" w:hAnsiTheme="majorHAnsi" w:cstheme="majorHAnsi"/>
          <w:szCs w:val="24"/>
        </w:rPr>
        <w:t>In this work we used a TALOS F200C.</w:t>
      </w:r>
    </w:p>
    <w:p w14:paraId="4E54813D" w14:textId="7BB15D76" w:rsidR="07025D57" w:rsidRPr="008B6881" w:rsidRDefault="07025D5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46B4659D" w14:textId="0B67345E" w:rsidR="7E76DEB6" w:rsidRPr="008B6881" w:rsidRDefault="31729AB9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4.3.2. </w:t>
      </w:r>
      <w:r w:rsidR="2D111A8B" w:rsidRPr="008B6881">
        <w:rPr>
          <w:rFonts w:asciiTheme="majorHAnsi" w:hAnsiTheme="majorHAnsi" w:cstheme="majorHAnsi"/>
          <w:szCs w:val="24"/>
        </w:rPr>
        <w:t xml:space="preserve">Operate the microscope at an accelerating voltage of 200 kV. </w:t>
      </w:r>
    </w:p>
    <w:p w14:paraId="4877C6B4" w14:textId="5E6D18DA" w:rsidR="07025D57" w:rsidRPr="008B6881" w:rsidRDefault="07025D5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4908DA81" w14:textId="27DA1586" w:rsidR="7E76DEB6" w:rsidRPr="008B6881" w:rsidRDefault="5F4067F2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4.3.3. </w:t>
      </w:r>
      <w:r w:rsidR="2D111A8B" w:rsidRPr="008B6881">
        <w:rPr>
          <w:rFonts w:asciiTheme="majorHAnsi" w:hAnsiTheme="majorHAnsi" w:cstheme="majorHAnsi"/>
          <w:szCs w:val="24"/>
        </w:rPr>
        <w:t xml:space="preserve">Acquire ultrastructural images at an acquisition magnification of 11,000× using a Ceta CMOS camera. </w:t>
      </w:r>
    </w:p>
    <w:p w14:paraId="62D45DB6" w14:textId="20686975" w:rsidR="07025D57" w:rsidRPr="008B6881" w:rsidRDefault="07025D5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3B68DAA3" w14:textId="3D9E3BBC" w:rsidR="7E76DEB6" w:rsidRPr="008B6881" w:rsidRDefault="67B75D83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4.3.4. </w:t>
      </w:r>
      <w:r w:rsidR="2D111A8B" w:rsidRPr="008B6881">
        <w:rPr>
          <w:rFonts w:asciiTheme="majorHAnsi" w:hAnsiTheme="majorHAnsi" w:cstheme="majorHAnsi"/>
          <w:szCs w:val="24"/>
        </w:rPr>
        <w:t xml:space="preserve">Capture images at 1024 × 1024 pixels with a 1 s exposure time. </w:t>
      </w:r>
    </w:p>
    <w:p w14:paraId="0251D7BE" w14:textId="57E9C045" w:rsidR="07025D57" w:rsidRPr="008B6881" w:rsidRDefault="07025D5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6EDAD1B9" w14:textId="6C26BE82" w:rsidR="7E76DEB6" w:rsidRPr="008B6881" w:rsidRDefault="52E5F3DE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4.3.5. </w:t>
      </w:r>
      <w:r w:rsidR="2D111A8B" w:rsidRPr="008B6881">
        <w:rPr>
          <w:rFonts w:asciiTheme="majorHAnsi" w:hAnsiTheme="majorHAnsi" w:cstheme="majorHAnsi"/>
          <w:szCs w:val="24"/>
        </w:rPr>
        <w:t>Set the lateral pixel size to 5</w:t>
      </w:r>
      <w:r w:rsidR="0096541B" w:rsidRPr="008B6881">
        <w:rPr>
          <w:rFonts w:asciiTheme="majorHAnsi" w:hAnsiTheme="majorHAnsi" w:cstheme="majorHAnsi"/>
          <w:szCs w:val="24"/>
        </w:rPr>
        <w:t>.</w:t>
      </w:r>
      <w:r w:rsidR="2D111A8B" w:rsidRPr="008B6881">
        <w:rPr>
          <w:rFonts w:asciiTheme="majorHAnsi" w:hAnsiTheme="majorHAnsi" w:cstheme="majorHAnsi"/>
          <w:szCs w:val="24"/>
        </w:rPr>
        <w:t xml:space="preserve">4 nm. </w:t>
      </w:r>
    </w:p>
    <w:p w14:paraId="32E67B34" w14:textId="41056343" w:rsidR="07025D57" w:rsidRPr="008B6881" w:rsidRDefault="07025D57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53A8E294" w14:textId="1108CAD7" w:rsidR="7E76DEB6" w:rsidRPr="008B6881" w:rsidRDefault="1839A30B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4.3.6. </w:t>
      </w:r>
      <w:r w:rsidR="2D111A8B" w:rsidRPr="008B6881">
        <w:rPr>
          <w:rFonts w:asciiTheme="majorHAnsi" w:hAnsiTheme="majorHAnsi" w:cstheme="majorHAnsi"/>
          <w:szCs w:val="24"/>
        </w:rPr>
        <w:t>Save the acquired image files with sample identifiers, magnification, and acquisition date.</w:t>
      </w:r>
    </w:p>
    <w:p w14:paraId="751258CD" w14:textId="05556935" w:rsidR="4496BC78" w:rsidRPr="008B6881" w:rsidRDefault="4496BC78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7D460099" w14:textId="76AB8ED7" w:rsidR="4F9FD4D6" w:rsidRPr="008B6881" w:rsidRDefault="4F9FD4D6" w:rsidP="008B6881">
      <w:pPr>
        <w:pStyle w:val="Heading2"/>
        <w:numPr>
          <w:ilvl w:val="0"/>
          <w:numId w:val="14"/>
        </w:numPr>
        <w:spacing w:before="0" w:after="0"/>
        <w:ind w:left="0" w:firstLine="0"/>
        <w:jc w:val="both"/>
        <w:rPr>
          <w:rFonts w:cstheme="majorHAnsi"/>
          <w:color w:val="auto"/>
          <w:szCs w:val="24"/>
        </w:rPr>
      </w:pPr>
      <w:r w:rsidRPr="008B6881">
        <w:rPr>
          <w:rFonts w:cstheme="majorHAnsi"/>
          <w:color w:val="auto"/>
          <w:szCs w:val="24"/>
        </w:rPr>
        <w:t xml:space="preserve">Primary </w:t>
      </w:r>
      <w:r w:rsidR="008B6881" w:rsidRPr="008B6881">
        <w:rPr>
          <w:rFonts w:cstheme="majorHAnsi"/>
          <w:color w:val="auto"/>
          <w:szCs w:val="24"/>
        </w:rPr>
        <w:t>b</w:t>
      </w:r>
      <w:r w:rsidRPr="008B6881">
        <w:rPr>
          <w:rFonts w:cstheme="majorHAnsi"/>
          <w:color w:val="auto"/>
          <w:szCs w:val="24"/>
        </w:rPr>
        <w:t xml:space="preserve">rown </w:t>
      </w:r>
      <w:r w:rsidR="008B6881" w:rsidRPr="008B6881">
        <w:rPr>
          <w:rFonts w:cstheme="majorHAnsi"/>
          <w:color w:val="auto"/>
          <w:szCs w:val="24"/>
        </w:rPr>
        <w:t>a</w:t>
      </w:r>
      <w:r w:rsidRPr="008B6881">
        <w:rPr>
          <w:rFonts w:cstheme="majorHAnsi"/>
          <w:color w:val="auto"/>
          <w:szCs w:val="24"/>
        </w:rPr>
        <w:t xml:space="preserve">dipocyte </w:t>
      </w:r>
      <w:r w:rsidR="008B6881" w:rsidRPr="008B6881">
        <w:rPr>
          <w:rFonts w:cstheme="majorHAnsi"/>
          <w:color w:val="auto"/>
          <w:szCs w:val="24"/>
        </w:rPr>
        <w:t>i</w:t>
      </w:r>
      <w:r w:rsidRPr="008B6881">
        <w:rPr>
          <w:rFonts w:cstheme="majorHAnsi"/>
          <w:color w:val="auto"/>
          <w:szCs w:val="24"/>
        </w:rPr>
        <w:t xml:space="preserve">solation and </w:t>
      </w:r>
      <w:r w:rsidR="008B6881" w:rsidRPr="008B6881">
        <w:rPr>
          <w:rFonts w:cstheme="majorHAnsi"/>
          <w:color w:val="auto"/>
          <w:szCs w:val="24"/>
        </w:rPr>
        <w:t>d</w:t>
      </w:r>
      <w:r w:rsidRPr="008B6881">
        <w:rPr>
          <w:rFonts w:cstheme="majorHAnsi"/>
          <w:color w:val="auto"/>
          <w:szCs w:val="24"/>
        </w:rPr>
        <w:t>ifferentiation</w:t>
      </w:r>
    </w:p>
    <w:p w14:paraId="226E25C4" w14:textId="77777777" w:rsidR="008B6881" w:rsidRPr="008B6881" w:rsidRDefault="008B6881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55ED7D6D" w14:textId="00A66F14" w:rsidR="4F9FD4D6" w:rsidRPr="008B6881" w:rsidRDefault="4F9FD4D6" w:rsidP="008B6881">
      <w:pPr>
        <w:pStyle w:val="Heading2"/>
        <w:spacing w:before="0" w:after="0"/>
        <w:jc w:val="both"/>
        <w:rPr>
          <w:rFonts w:cstheme="majorHAnsi"/>
          <w:b w:val="0"/>
          <w:bCs w:val="0"/>
          <w:color w:val="auto"/>
          <w:szCs w:val="24"/>
        </w:rPr>
      </w:pPr>
      <w:r w:rsidRPr="008B6881">
        <w:rPr>
          <w:rFonts w:cstheme="majorHAnsi"/>
          <w:b w:val="0"/>
          <w:bCs w:val="0"/>
          <w:color w:val="auto"/>
          <w:szCs w:val="24"/>
        </w:rPr>
        <w:t xml:space="preserve">5.1. Dissect and 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d</w:t>
      </w:r>
      <w:r w:rsidRPr="008B6881">
        <w:rPr>
          <w:rFonts w:cstheme="majorHAnsi"/>
          <w:b w:val="0"/>
          <w:bCs w:val="0"/>
          <w:color w:val="auto"/>
          <w:szCs w:val="24"/>
        </w:rPr>
        <w:t xml:space="preserve">igest 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t</w:t>
      </w:r>
      <w:r w:rsidRPr="008B6881">
        <w:rPr>
          <w:rFonts w:cstheme="majorHAnsi"/>
          <w:b w:val="0"/>
          <w:bCs w:val="0"/>
          <w:color w:val="auto"/>
          <w:szCs w:val="24"/>
        </w:rPr>
        <w:t xml:space="preserve">issue </w:t>
      </w:r>
    </w:p>
    <w:p w14:paraId="6B1C027F" w14:textId="0C228C79" w:rsidR="4496BC78" w:rsidRPr="008B6881" w:rsidRDefault="4496BC78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062ABC80" w14:textId="38A51BE9" w:rsidR="00AC2AA0" w:rsidRPr="008B6881" w:rsidRDefault="0019250B" w:rsidP="008B6881">
      <w:pPr>
        <w:pStyle w:val="ListParagraph"/>
        <w:numPr>
          <w:ilvl w:val="2"/>
          <w:numId w:val="14"/>
        </w:numPr>
        <w:spacing w:after="0"/>
        <w:ind w:left="0" w:firstLine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Euthanize the newborn mouse (P0.5) by quick decapitation with a surgical scissor. Open the skin on the interscapular space </w:t>
      </w:r>
      <w:r w:rsidR="00480912" w:rsidRPr="008B6881">
        <w:rPr>
          <w:rFonts w:asciiTheme="majorHAnsi" w:hAnsiTheme="majorHAnsi" w:cstheme="majorHAnsi"/>
          <w:szCs w:val="24"/>
        </w:rPr>
        <w:t xml:space="preserve">with </w:t>
      </w:r>
      <w:r w:rsidR="007B4253" w:rsidRPr="008B6881">
        <w:rPr>
          <w:rFonts w:asciiTheme="majorHAnsi" w:hAnsiTheme="majorHAnsi" w:cstheme="majorHAnsi"/>
          <w:szCs w:val="24"/>
        </w:rPr>
        <w:t xml:space="preserve">surgical </w:t>
      </w:r>
      <w:r w:rsidR="008B6881" w:rsidRPr="008B6881">
        <w:rPr>
          <w:rFonts w:asciiTheme="majorHAnsi" w:hAnsiTheme="majorHAnsi" w:cstheme="majorHAnsi"/>
          <w:szCs w:val="24"/>
        </w:rPr>
        <w:t>scissors</w:t>
      </w:r>
      <w:r w:rsidRPr="008B6881">
        <w:rPr>
          <w:rFonts w:asciiTheme="majorHAnsi" w:hAnsiTheme="majorHAnsi" w:cstheme="majorHAnsi"/>
          <w:szCs w:val="24"/>
        </w:rPr>
        <w:t xml:space="preserve"> and forceps.</w:t>
      </w:r>
      <w:r w:rsidRPr="008B6881">
        <w:rPr>
          <w:rFonts w:asciiTheme="majorHAnsi" w:hAnsiTheme="majorHAnsi" w:cstheme="majorHAnsi"/>
          <w:b/>
          <w:bCs/>
          <w:szCs w:val="24"/>
        </w:rPr>
        <w:t xml:space="preserve"> </w:t>
      </w:r>
      <w:r w:rsidR="007B4253" w:rsidRPr="008B6881">
        <w:rPr>
          <w:rFonts w:asciiTheme="majorHAnsi" w:hAnsiTheme="majorHAnsi" w:cstheme="majorHAnsi"/>
          <w:szCs w:val="24"/>
        </w:rPr>
        <w:t>Di</w:t>
      </w:r>
      <w:r w:rsidR="5CA9AE57" w:rsidRPr="008B6881">
        <w:rPr>
          <w:rFonts w:asciiTheme="majorHAnsi" w:hAnsiTheme="majorHAnsi" w:cstheme="majorHAnsi"/>
          <w:szCs w:val="24"/>
        </w:rPr>
        <w:t xml:space="preserve">ssect </w:t>
      </w:r>
      <w:r w:rsidR="00480912" w:rsidRPr="008B6881">
        <w:rPr>
          <w:rFonts w:asciiTheme="majorHAnsi" w:hAnsiTheme="majorHAnsi" w:cstheme="majorHAnsi"/>
          <w:szCs w:val="24"/>
        </w:rPr>
        <w:t xml:space="preserve">the </w:t>
      </w:r>
      <w:r w:rsidR="5CA9AE57" w:rsidRPr="008B6881">
        <w:rPr>
          <w:rFonts w:asciiTheme="majorHAnsi" w:hAnsiTheme="majorHAnsi" w:cstheme="majorHAnsi"/>
          <w:szCs w:val="24"/>
        </w:rPr>
        <w:t>interscapular brown adipose tissue (iBAT) from newborn mice</w:t>
      </w:r>
      <w:r w:rsidR="5CE70C48" w:rsidRPr="008B6881">
        <w:rPr>
          <w:rFonts w:asciiTheme="majorHAnsi" w:hAnsiTheme="majorHAnsi" w:cstheme="majorHAnsi"/>
          <w:szCs w:val="24"/>
        </w:rPr>
        <w:t>.</w:t>
      </w:r>
    </w:p>
    <w:p w14:paraId="5412E936" w14:textId="591F76C1" w:rsidR="4496BC78" w:rsidRPr="008B6881" w:rsidRDefault="4496BC78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205D1E1A" w14:textId="5F56DA66" w:rsidR="00984F19" w:rsidRPr="008B6881" w:rsidRDefault="4E577B6E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5.1.2. </w:t>
      </w:r>
      <w:r w:rsidR="5B776000" w:rsidRPr="008B6881">
        <w:rPr>
          <w:rFonts w:asciiTheme="majorHAnsi" w:hAnsiTheme="majorHAnsi" w:cstheme="majorHAnsi"/>
          <w:szCs w:val="24"/>
        </w:rPr>
        <w:t xml:space="preserve">Mince the </w:t>
      </w:r>
      <w:r w:rsidR="009A31FD" w:rsidRPr="008B6881">
        <w:rPr>
          <w:rFonts w:asciiTheme="majorHAnsi" w:hAnsiTheme="majorHAnsi" w:cstheme="majorHAnsi"/>
          <w:szCs w:val="24"/>
        </w:rPr>
        <w:t>iBAT</w:t>
      </w:r>
      <w:r w:rsidR="5B776000" w:rsidRPr="008B6881">
        <w:rPr>
          <w:rFonts w:asciiTheme="majorHAnsi" w:hAnsiTheme="majorHAnsi" w:cstheme="majorHAnsi"/>
          <w:szCs w:val="24"/>
        </w:rPr>
        <w:t xml:space="preserve"> in small pieces </w:t>
      </w:r>
      <w:r w:rsidR="009A31FD" w:rsidRPr="008B6881">
        <w:rPr>
          <w:rFonts w:asciiTheme="majorHAnsi" w:hAnsiTheme="majorHAnsi" w:cstheme="majorHAnsi"/>
          <w:szCs w:val="24"/>
        </w:rPr>
        <w:t>(~2-3 mm)</w:t>
      </w:r>
      <w:r w:rsidR="006F430E" w:rsidRPr="008B6881">
        <w:rPr>
          <w:rFonts w:asciiTheme="majorHAnsi" w:hAnsiTheme="majorHAnsi" w:cstheme="majorHAnsi"/>
          <w:szCs w:val="24"/>
        </w:rPr>
        <w:t xml:space="preserve"> with</w:t>
      </w:r>
      <w:r w:rsidR="5B776000" w:rsidRPr="008B6881">
        <w:rPr>
          <w:rFonts w:asciiTheme="majorHAnsi" w:hAnsiTheme="majorHAnsi" w:cstheme="majorHAnsi"/>
          <w:szCs w:val="24"/>
        </w:rPr>
        <w:t xml:space="preserve"> surgical scissor</w:t>
      </w:r>
      <w:r w:rsidR="008B6881" w:rsidRPr="008B6881">
        <w:rPr>
          <w:rFonts w:asciiTheme="majorHAnsi" w:hAnsiTheme="majorHAnsi" w:cstheme="majorHAnsi"/>
          <w:szCs w:val="24"/>
        </w:rPr>
        <w:t>s</w:t>
      </w:r>
      <w:r w:rsidR="5B776000" w:rsidRPr="008B6881">
        <w:rPr>
          <w:rFonts w:asciiTheme="majorHAnsi" w:hAnsiTheme="majorHAnsi" w:cstheme="majorHAnsi"/>
          <w:szCs w:val="24"/>
        </w:rPr>
        <w:t xml:space="preserve">. </w:t>
      </w:r>
      <w:r w:rsidRPr="008B6881">
        <w:rPr>
          <w:rFonts w:asciiTheme="majorHAnsi" w:hAnsiTheme="majorHAnsi" w:cstheme="majorHAnsi"/>
          <w:szCs w:val="24"/>
        </w:rPr>
        <w:t>Digest the tissue with collagenase type I buffer for 30 min at 37 °C under gentle agitation.</w:t>
      </w:r>
    </w:p>
    <w:p w14:paraId="48AA3616" w14:textId="23B49985" w:rsidR="4496BC78" w:rsidRPr="008B6881" w:rsidRDefault="4496BC78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6A30B0D5" w14:textId="7603460E" w:rsidR="4F9FD4D6" w:rsidRPr="008B6881" w:rsidRDefault="4F9FD4D6" w:rsidP="008B6881">
      <w:pPr>
        <w:pStyle w:val="Heading2"/>
        <w:spacing w:before="0" w:after="0"/>
        <w:jc w:val="both"/>
        <w:rPr>
          <w:rFonts w:cstheme="majorHAnsi"/>
          <w:b w:val="0"/>
          <w:bCs w:val="0"/>
          <w:color w:val="auto"/>
          <w:szCs w:val="24"/>
        </w:rPr>
      </w:pPr>
      <w:r w:rsidRPr="008B6881">
        <w:rPr>
          <w:rFonts w:cstheme="majorHAnsi"/>
          <w:b w:val="0"/>
          <w:bCs w:val="0"/>
          <w:color w:val="auto"/>
          <w:szCs w:val="24"/>
        </w:rPr>
        <w:t xml:space="preserve">5.2. Isolate and 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p</w:t>
      </w:r>
      <w:r w:rsidRPr="008B6881">
        <w:rPr>
          <w:rFonts w:cstheme="majorHAnsi"/>
          <w:b w:val="0"/>
          <w:bCs w:val="0"/>
          <w:color w:val="auto"/>
          <w:szCs w:val="24"/>
        </w:rPr>
        <w:t xml:space="preserve">urify 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the s</w:t>
      </w:r>
      <w:r w:rsidRPr="008B6881">
        <w:rPr>
          <w:rFonts w:cstheme="majorHAnsi"/>
          <w:b w:val="0"/>
          <w:bCs w:val="0"/>
          <w:color w:val="auto"/>
          <w:szCs w:val="24"/>
        </w:rPr>
        <w:t xml:space="preserve">tromal 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v</w:t>
      </w:r>
      <w:r w:rsidRPr="008B6881">
        <w:rPr>
          <w:rFonts w:cstheme="majorHAnsi"/>
          <w:b w:val="0"/>
          <w:bCs w:val="0"/>
          <w:color w:val="auto"/>
          <w:szCs w:val="24"/>
        </w:rPr>
        <w:t xml:space="preserve">ascular 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f</w:t>
      </w:r>
      <w:r w:rsidRPr="008B6881">
        <w:rPr>
          <w:rFonts w:cstheme="majorHAnsi"/>
          <w:b w:val="0"/>
          <w:bCs w:val="0"/>
          <w:color w:val="auto"/>
          <w:szCs w:val="24"/>
        </w:rPr>
        <w:t>raction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.</w:t>
      </w:r>
    </w:p>
    <w:p w14:paraId="7237D75F" w14:textId="1DC54C13" w:rsidR="4496BC78" w:rsidRPr="008B6881" w:rsidRDefault="4496BC78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098528F6" w14:textId="19D91674" w:rsidR="4F9FD4D6" w:rsidRPr="008B6881" w:rsidRDefault="4F9FD4D6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5.2.1. Pass the digested tissue through a 100 μm cell strainer and add ACK lysis buffer. </w:t>
      </w:r>
    </w:p>
    <w:p w14:paraId="53AB06CB" w14:textId="77777777" w:rsidR="00984F19" w:rsidRPr="008B6881" w:rsidRDefault="00984F19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284B8134" w14:textId="741E41FA" w:rsidR="4F9FD4D6" w:rsidRPr="008B6881" w:rsidRDefault="4F9FD4D6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5.2.2. Collect the stromal vascular fraction (SVF) by centrifugation at 300 × g for 5 min. </w:t>
      </w:r>
    </w:p>
    <w:p w14:paraId="6B2430F4" w14:textId="77777777" w:rsidR="00984F19" w:rsidRPr="008B6881" w:rsidRDefault="00984F19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765072DE" w14:textId="5CD04B55" w:rsidR="4F9FD4D6" w:rsidRPr="008B6881" w:rsidRDefault="4F9FD4D6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5.2.3. Resuspend the pellet in DMEM/F12 supplemented with 10% FBS and 1% penicillin/streptomycin. </w:t>
      </w:r>
    </w:p>
    <w:p w14:paraId="24601E54" w14:textId="12E0B8E6" w:rsidR="4496BC78" w:rsidRPr="008B6881" w:rsidRDefault="4496BC78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29DA10BD" w14:textId="0A4F72B6" w:rsidR="4F9FD4D6" w:rsidRPr="008B6881" w:rsidRDefault="4F9FD4D6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5.2.4. Filter the suspension through a 40 μm cell strainer, centrifuge again at 300 × </w:t>
      </w:r>
      <w:r w:rsidRPr="008B6881">
        <w:rPr>
          <w:rFonts w:asciiTheme="majorHAnsi" w:hAnsiTheme="majorHAnsi" w:cstheme="majorHAnsi"/>
          <w:i/>
          <w:iCs/>
          <w:szCs w:val="24"/>
        </w:rPr>
        <w:t>g</w:t>
      </w:r>
      <w:r w:rsidRPr="008B6881">
        <w:rPr>
          <w:rFonts w:asciiTheme="majorHAnsi" w:hAnsiTheme="majorHAnsi" w:cstheme="majorHAnsi"/>
          <w:szCs w:val="24"/>
        </w:rPr>
        <w:t xml:space="preserve"> for 5 min, and resuspend the final pellet in DMEM/F12.</w:t>
      </w:r>
    </w:p>
    <w:p w14:paraId="193A432C" w14:textId="6C6CFBEB" w:rsidR="4496BC78" w:rsidRPr="008B6881" w:rsidRDefault="4496BC78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27C2CEB6" w14:textId="4035C63D" w:rsidR="4F9FD4D6" w:rsidRPr="008B6881" w:rsidRDefault="4F9FD4D6" w:rsidP="008B6881">
      <w:pPr>
        <w:pStyle w:val="Heading2"/>
        <w:spacing w:before="0" w:after="0"/>
        <w:jc w:val="both"/>
        <w:rPr>
          <w:rFonts w:cstheme="majorHAnsi"/>
          <w:b w:val="0"/>
          <w:bCs w:val="0"/>
          <w:color w:val="auto"/>
          <w:szCs w:val="24"/>
        </w:rPr>
      </w:pPr>
      <w:r w:rsidRPr="008B6881">
        <w:rPr>
          <w:rFonts w:cstheme="majorHAnsi"/>
          <w:b w:val="0"/>
          <w:bCs w:val="0"/>
          <w:color w:val="auto"/>
          <w:szCs w:val="24"/>
        </w:rPr>
        <w:t xml:space="preserve">5.3. </w:t>
      </w:r>
      <w:r w:rsidR="00FC320B" w:rsidRPr="008B6881">
        <w:rPr>
          <w:rFonts w:cstheme="majorHAnsi"/>
          <w:b w:val="0"/>
          <w:bCs w:val="0"/>
          <w:color w:val="auto"/>
          <w:szCs w:val="24"/>
        </w:rPr>
        <w:t xml:space="preserve">Cell 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c</w:t>
      </w:r>
      <w:r w:rsidRPr="008B6881">
        <w:rPr>
          <w:rFonts w:cstheme="majorHAnsi"/>
          <w:b w:val="0"/>
          <w:bCs w:val="0"/>
          <w:color w:val="auto"/>
          <w:szCs w:val="24"/>
        </w:rPr>
        <w:t xml:space="preserve">ulture and 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e</w:t>
      </w:r>
      <w:r w:rsidRPr="008B6881">
        <w:rPr>
          <w:rFonts w:cstheme="majorHAnsi"/>
          <w:b w:val="0"/>
          <w:bCs w:val="0"/>
          <w:color w:val="auto"/>
          <w:szCs w:val="24"/>
        </w:rPr>
        <w:t>xpan</w:t>
      </w:r>
      <w:r w:rsidR="00FC320B" w:rsidRPr="008B6881">
        <w:rPr>
          <w:rFonts w:cstheme="majorHAnsi"/>
          <w:b w:val="0"/>
          <w:bCs w:val="0"/>
          <w:color w:val="auto"/>
          <w:szCs w:val="24"/>
        </w:rPr>
        <w:t>sion</w:t>
      </w:r>
      <w:r w:rsidRPr="008B6881">
        <w:rPr>
          <w:rFonts w:cstheme="majorHAnsi"/>
          <w:b w:val="0"/>
          <w:bCs w:val="0"/>
          <w:color w:val="auto"/>
          <w:szCs w:val="24"/>
        </w:rPr>
        <w:t xml:space="preserve"> </w:t>
      </w:r>
    </w:p>
    <w:p w14:paraId="7D10CE2D" w14:textId="12C6B45F" w:rsidR="4496BC78" w:rsidRPr="008B6881" w:rsidRDefault="4496BC78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428C6DD4" w14:textId="78CF8E13" w:rsidR="4F9FD4D6" w:rsidRPr="008B6881" w:rsidRDefault="4F9FD4D6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5.3.1. Plate </w:t>
      </w:r>
      <w:r w:rsidR="00FC320B" w:rsidRPr="008B6881">
        <w:rPr>
          <w:rFonts w:asciiTheme="majorHAnsi" w:hAnsiTheme="majorHAnsi" w:cstheme="majorHAnsi"/>
          <w:szCs w:val="24"/>
        </w:rPr>
        <w:t xml:space="preserve">the </w:t>
      </w:r>
      <w:r w:rsidRPr="008B6881">
        <w:rPr>
          <w:rFonts w:asciiTheme="majorHAnsi" w:hAnsiTheme="majorHAnsi" w:cstheme="majorHAnsi"/>
          <w:szCs w:val="24"/>
        </w:rPr>
        <w:t>cells from each mouse in 6 wells of a 24-well plate in DMEM/F12 and maintain at 37 °C in 5% CO₂.</w:t>
      </w:r>
    </w:p>
    <w:p w14:paraId="76933909" w14:textId="469D19FC" w:rsidR="4496BC78" w:rsidRPr="008B6881" w:rsidRDefault="4496BC78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2110A19F" w14:textId="3AFAE35E" w:rsidR="4F9FD4D6" w:rsidRPr="008B6881" w:rsidRDefault="4F9FD4D6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5.3.2. Transfer cultures onto a 12-well plate once they reach confluence and expand </w:t>
      </w:r>
      <w:r w:rsidR="00412CC9" w:rsidRPr="008B6881">
        <w:rPr>
          <w:rFonts w:asciiTheme="majorHAnsi" w:hAnsiTheme="majorHAnsi" w:cstheme="majorHAnsi"/>
          <w:szCs w:val="24"/>
        </w:rPr>
        <w:t xml:space="preserve">the culture </w:t>
      </w:r>
      <w:r w:rsidRPr="008B6881">
        <w:rPr>
          <w:rFonts w:asciiTheme="majorHAnsi" w:hAnsiTheme="majorHAnsi" w:cstheme="majorHAnsi"/>
          <w:szCs w:val="24"/>
        </w:rPr>
        <w:t xml:space="preserve">until confluence is reached again. </w:t>
      </w:r>
    </w:p>
    <w:p w14:paraId="3162CCD2" w14:textId="21F23B17" w:rsidR="4496BC78" w:rsidRPr="008B6881" w:rsidRDefault="4496BC78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6C348121" w14:textId="6A02FA02" w:rsidR="4F9FD4D6" w:rsidRPr="008B6881" w:rsidRDefault="4F9FD4D6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5.3.3. </w:t>
      </w:r>
      <w:proofErr w:type="spellStart"/>
      <w:r w:rsidRPr="008B6881">
        <w:rPr>
          <w:rFonts w:asciiTheme="majorHAnsi" w:hAnsiTheme="majorHAnsi" w:cstheme="majorHAnsi"/>
          <w:szCs w:val="24"/>
        </w:rPr>
        <w:t>Trypsinize</w:t>
      </w:r>
      <w:proofErr w:type="spellEnd"/>
      <w:r w:rsidRPr="008B6881">
        <w:rPr>
          <w:rFonts w:asciiTheme="majorHAnsi" w:hAnsiTheme="majorHAnsi" w:cstheme="majorHAnsi"/>
          <w:szCs w:val="24"/>
        </w:rPr>
        <w:t>, count</w:t>
      </w:r>
      <w:r w:rsidR="008B6881" w:rsidRPr="008B6881">
        <w:rPr>
          <w:rFonts w:asciiTheme="majorHAnsi" w:hAnsiTheme="majorHAnsi" w:cstheme="majorHAnsi"/>
          <w:szCs w:val="24"/>
        </w:rPr>
        <w:t>,</w:t>
      </w:r>
      <w:r w:rsidRPr="008B6881">
        <w:rPr>
          <w:rFonts w:asciiTheme="majorHAnsi" w:hAnsiTheme="majorHAnsi" w:cstheme="majorHAnsi"/>
          <w:szCs w:val="24"/>
        </w:rPr>
        <w:t xml:space="preserve"> and plate cells onto the corresponding experimental plates.</w:t>
      </w:r>
    </w:p>
    <w:p w14:paraId="6F15BC73" w14:textId="7A5B8453" w:rsidR="4496BC78" w:rsidRPr="008B6881" w:rsidRDefault="4496BC78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06EC03B0" w14:textId="72135082" w:rsidR="4F9FD4D6" w:rsidRPr="008B6881" w:rsidRDefault="4F9FD4D6" w:rsidP="008B6881">
      <w:pPr>
        <w:pStyle w:val="Heading2"/>
        <w:spacing w:before="0" w:after="0"/>
        <w:jc w:val="both"/>
        <w:rPr>
          <w:rFonts w:cstheme="majorHAnsi"/>
          <w:b w:val="0"/>
          <w:bCs w:val="0"/>
          <w:color w:val="auto"/>
          <w:szCs w:val="24"/>
        </w:rPr>
      </w:pPr>
      <w:r w:rsidRPr="008B6881">
        <w:rPr>
          <w:rFonts w:cstheme="majorHAnsi"/>
          <w:b w:val="0"/>
          <w:bCs w:val="0"/>
          <w:color w:val="auto"/>
          <w:szCs w:val="24"/>
        </w:rPr>
        <w:t xml:space="preserve">5.4. </w:t>
      </w:r>
      <w:proofErr w:type="spellStart"/>
      <w:r w:rsidR="008F1572" w:rsidRPr="008B6881">
        <w:rPr>
          <w:rFonts w:cstheme="majorHAnsi"/>
          <w:b w:val="0"/>
          <w:bCs w:val="0"/>
          <w:color w:val="auto"/>
          <w:szCs w:val="24"/>
        </w:rPr>
        <w:t>Adipogenic</w:t>
      </w:r>
      <w:proofErr w:type="spellEnd"/>
      <w:r w:rsidRPr="008B6881">
        <w:rPr>
          <w:rFonts w:cstheme="majorHAnsi"/>
          <w:b w:val="0"/>
          <w:bCs w:val="0"/>
          <w:color w:val="auto"/>
          <w:szCs w:val="24"/>
        </w:rPr>
        <w:t xml:space="preserve"> 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d</w:t>
      </w:r>
      <w:r w:rsidRPr="008B6881">
        <w:rPr>
          <w:rFonts w:cstheme="majorHAnsi"/>
          <w:b w:val="0"/>
          <w:bCs w:val="0"/>
          <w:color w:val="auto"/>
          <w:szCs w:val="24"/>
        </w:rPr>
        <w:t xml:space="preserve">ifferentiation 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i</w:t>
      </w:r>
      <w:r w:rsidR="008F1572" w:rsidRPr="008B6881">
        <w:rPr>
          <w:rFonts w:cstheme="majorHAnsi"/>
          <w:b w:val="0"/>
          <w:bCs w:val="0"/>
          <w:color w:val="auto"/>
          <w:szCs w:val="24"/>
        </w:rPr>
        <w:t>nduction</w:t>
      </w:r>
    </w:p>
    <w:p w14:paraId="7F6E5947" w14:textId="4626A2E1" w:rsidR="4496BC78" w:rsidRPr="008B6881" w:rsidRDefault="4496BC78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3A23D629" w14:textId="0339ED95" w:rsidR="4F9FD4D6" w:rsidRPr="008B6881" w:rsidRDefault="135F749C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5.4.1. Once confluence is achieved, induce brown adipocyte differentiation using differentiation induction medium (DIM) for 48 h (corresponding to 2 days of differentiation).</w:t>
      </w:r>
    </w:p>
    <w:p w14:paraId="03145F7B" w14:textId="5390F379" w:rsidR="7C3945D5" w:rsidRPr="008B6881" w:rsidRDefault="7C3945D5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125525DC" w14:textId="07A55574" w:rsidR="7ED88586" w:rsidRPr="008B6881" w:rsidRDefault="7ED88586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 xml:space="preserve">5.4.2. </w:t>
      </w:r>
      <w:r w:rsidR="4F9FD4D6" w:rsidRPr="008B6881">
        <w:rPr>
          <w:rFonts w:asciiTheme="majorHAnsi" w:hAnsiTheme="majorHAnsi" w:cstheme="majorHAnsi"/>
          <w:szCs w:val="24"/>
        </w:rPr>
        <w:t>Subsequently, replace DIM with differentiation maintenance medium (DMM) for 24</w:t>
      </w:r>
      <w:r w:rsidR="008B6881" w:rsidRPr="008B6881">
        <w:rPr>
          <w:rFonts w:asciiTheme="majorHAnsi" w:hAnsiTheme="majorHAnsi" w:cstheme="majorHAnsi"/>
          <w:szCs w:val="24"/>
        </w:rPr>
        <w:t>–</w:t>
      </w:r>
      <w:r w:rsidR="4F9FD4D6" w:rsidRPr="008B6881">
        <w:rPr>
          <w:rFonts w:asciiTheme="majorHAnsi" w:hAnsiTheme="majorHAnsi" w:cstheme="majorHAnsi"/>
          <w:szCs w:val="24"/>
        </w:rPr>
        <w:t>120 h (</w:t>
      </w:r>
      <w:r w:rsidR="4F9FD4D6" w:rsidRPr="008B6881">
        <w:rPr>
          <w:rFonts w:asciiTheme="majorHAnsi" w:hAnsiTheme="majorHAnsi" w:cstheme="majorHAnsi"/>
          <w:szCs w:val="24"/>
          <w:lang w:val="en"/>
        </w:rPr>
        <w:t>corresponding to 3 days of differentiation up to 7 days of differentiation</w:t>
      </w:r>
      <w:r w:rsidR="4F9FD4D6" w:rsidRPr="008B6881">
        <w:rPr>
          <w:rFonts w:asciiTheme="majorHAnsi" w:hAnsiTheme="majorHAnsi" w:cstheme="majorHAnsi"/>
          <w:szCs w:val="24"/>
        </w:rPr>
        <w:t>)</w:t>
      </w:r>
    </w:p>
    <w:p w14:paraId="080C734E" w14:textId="3B1F9B21" w:rsidR="4496BC78" w:rsidRPr="008B6881" w:rsidRDefault="4496BC78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38CFFD2A" w14:textId="1CC2351D" w:rsidR="14705114" w:rsidRPr="008B6881" w:rsidRDefault="3A4B98FB" w:rsidP="008B6881">
      <w:pPr>
        <w:pStyle w:val="Heading2"/>
        <w:spacing w:before="0" w:after="0"/>
        <w:jc w:val="both"/>
        <w:rPr>
          <w:rFonts w:cstheme="majorHAnsi"/>
          <w:color w:val="auto"/>
          <w:szCs w:val="24"/>
        </w:rPr>
      </w:pPr>
      <w:r w:rsidRPr="008B6881">
        <w:rPr>
          <w:rFonts w:cstheme="majorHAnsi"/>
          <w:color w:val="auto"/>
          <w:szCs w:val="24"/>
        </w:rPr>
        <w:t>6. Reynolds</w:t>
      </w:r>
      <w:r w:rsidR="00F74593" w:rsidRPr="008B6881">
        <w:rPr>
          <w:rFonts w:cstheme="majorHAnsi"/>
          <w:color w:val="auto"/>
          <w:szCs w:val="24"/>
        </w:rPr>
        <w:t>’</w:t>
      </w:r>
      <w:r w:rsidRPr="008B6881">
        <w:rPr>
          <w:rFonts w:cstheme="majorHAnsi"/>
          <w:color w:val="auto"/>
          <w:szCs w:val="24"/>
        </w:rPr>
        <w:t xml:space="preserve"> </w:t>
      </w:r>
      <w:r w:rsidR="008B6881" w:rsidRPr="008B6881">
        <w:rPr>
          <w:rFonts w:cstheme="majorHAnsi"/>
          <w:color w:val="auto"/>
          <w:szCs w:val="24"/>
        </w:rPr>
        <w:t>m</w:t>
      </w:r>
      <w:r w:rsidRPr="008B6881">
        <w:rPr>
          <w:rFonts w:cstheme="majorHAnsi"/>
          <w:color w:val="auto"/>
          <w:szCs w:val="24"/>
        </w:rPr>
        <w:t xml:space="preserve">ethod (Lead </w:t>
      </w:r>
      <w:r w:rsidR="008B6881" w:rsidRPr="008B6881">
        <w:rPr>
          <w:rFonts w:cstheme="majorHAnsi"/>
          <w:color w:val="auto"/>
          <w:szCs w:val="24"/>
        </w:rPr>
        <w:t>c</w:t>
      </w:r>
      <w:r w:rsidRPr="008B6881">
        <w:rPr>
          <w:rFonts w:cstheme="majorHAnsi"/>
          <w:color w:val="auto"/>
          <w:szCs w:val="24"/>
        </w:rPr>
        <w:t xml:space="preserve">itrate </w:t>
      </w:r>
      <w:r w:rsidR="008B6881" w:rsidRPr="008B6881">
        <w:rPr>
          <w:rFonts w:cstheme="majorHAnsi"/>
          <w:color w:val="auto"/>
          <w:szCs w:val="24"/>
        </w:rPr>
        <w:t>c</w:t>
      </w:r>
      <w:r w:rsidRPr="008B6881">
        <w:rPr>
          <w:rFonts w:cstheme="majorHAnsi"/>
          <w:color w:val="auto"/>
          <w:szCs w:val="24"/>
        </w:rPr>
        <w:t xml:space="preserve">ontrast </w:t>
      </w:r>
      <w:r w:rsidR="008B6881" w:rsidRPr="008B6881">
        <w:rPr>
          <w:rFonts w:cstheme="majorHAnsi"/>
          <w:color w:val="auto"/>
          <w:szCs w:val="24"/>
        </w:rPr>
        <w:t>s</w:t>
      </w:r>
      <w:r w:rsidRPr="008B6881">
        <w:rPr>
          <w:rFonts w:cstheme="majorHAnsi"/>
          <w:color w:val="auto"/>
          <w:szCs w:val="24"/>
        </w:rPr>
        <w:t>taining)</w:t>
      </w:r>
    </w:p>
    <w:p w14:paraId="4A9A75CF" w14:textId="431B06E2" w:rsidR="7C3945D5" w:rsidRPr="008B6881" w:rsidRDefault="7C3945D5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1AD27BC2" w14:textId="21AB70C3" w:rsidR="14705114" w:rsidRPr="008B6881" w:rsidRDefault="5FF895BF" w:rsidP="008B6881">
      <w:pPr>
        <w:pStyle w:val="Heading2"/>
        <w:spacing w:before="0" w:after="0"/>
        <w:jc w:val="both"/>
        <w:rPr>
          <w:rFonts w:cstheme="majorHAnsi"/>
          <w:b w:val="0"/>
          <w:bCs w:val="0"/>
          <w:color w:val="auto"/>
          <w:szCs w:val="24"/>
        </w:rPr>
      </w:pPr>
      <w:r w:rsidRPr="008B6881">
        <w:rPr>
          <w:rFonts w:cstheme="majorHAnsi"/>
          <w:b w:val="0"/>
          <w:bCs w:val="0"/>
          <w:color w:val="auto"/>
          <w:szCs w:val="24"/>
        </w:rPr>
        <w:t>6.1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.</w:t>
      </w:r>
      <w:r w:rsidRPr="008B6881">
        <w:rPr>
          <w:rFonts w:cstheme="majorHAnsi"/>
          <w:b w:val="0"/>
          <w:bCs w:val="0"/>
          <w:color w:val="auto"/>
          <w:szCs w:val="24"/>
        </w:rPr>
        <w:t xml:space="preserve"> Prepar</w:t>
      </w:r>
      <w:r w:rsidR="00291830" w:rsidRPr="008B6881">
        <w:rPr>
          <w:rFonts w:cstheme="majorHAnsi"/>
          <w:b w:val="0"/>
          <w:bCs w:val="0"/>
          <w:color w:val="auto"/>
          <w:szCs w:val="24"/>
        </w:rPr>
        <w:t xml:space="preserve">ation </w:t>
      </w:r>
      <w:r w:rsidR="15580E36" w:rsidRPr="008B6881">
        <w:rPr>
          <w:rFonts w:cstheme="majorHAnsi"/>
          <w:b w:val="0"/>
          <w:bCs w:val="0"/>
          <w:color w:val="auto"/>
          <w:szCs w:val="24"/>
        </w:rPr>
        <w:t xml:space="preserve">of </w:t>
      </w:r>
      <w:r w:rsidR="00291830" w:rsidRPr="008B6881">
        <w:rPr>
          <w:rFonts w:cstheme="majorHAnsi"/>
          <w:b w:val="0"/>
          <w:bCs w:val="0"/>
          <w:color w:val="auto"/>
          <w:szCs w:val="24"/>
        </w:rPr>
        <w:t xml:space="preserve">the </w:t>
      </w:r>
      <w:r w:rsidR="15580E36" w:rsidRPr="008B6881">
        <w:rPr>
          <w:rFonts w:cstheme="majorHAnsi"/>
          <w:b w:val="0"/>
          <w:bCs w:val="0"/>
          <w:color w:val="auto"/>
          <w:szCs w:val="24"/>
        </w:rPr>
        <w:t xml:space="preserve">chamber </w:t>
      </w:r>
      <w:r w:rsidR="18F48B9C" w:rsidRPr="008B6881">
        <w:rPr>
          <w:rFonts w:cstheme="majorHAnsi"/>
          <w:b w:val="0"/>
          <w:bCs w:val="0"/>
          <w:color w:val="auto"/>
          <w:szCs w:val="24"/>
        </w:rPr>
        <w:t>for</w:t>
      </w:r>
      <w:r w:rsidRPr="008B6881">
        <w:rPr>
          <w:rFonts w:cstheme="majorHAnsi"/>
          <w:b w:val="0"/>
          <w:bCs w:val="0"/>
          <w:color w:val="auto"/>
          <w:szCs w:val="24"/>
        </w:rPr>
        <w:t xml:space="preserve"> Reynolds</w:t>
      </w:r>
      <w:r w:rsidR="00F74593" w:rsidRPr="008B6881">
        <w:rPr>
          <w:rFonts w:cstheme="majorHAnsi"/>
          <w:b w:val="0"/>
          <w:bCs w:val="0"/>
          <w:color w:val="auto"/>
          <w:szCs w:val="24"/>
        </w:rPr>
        <w:t>’</w:t>
      </w:r>
      <w:r w:rsidRPr="008B6881">
        <w:rPr>
          <w:rFonts w:cstheme="majorHAnsi"/>
          <w:b w:val="0"/>
          <w:bCs w:val="0"/>
          <w:color w:val="auto"/>
          <w:szCs w:val="24"/>
        </w:rPr>
        <w:t xml:space="preserve"> 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s</w:t>
      </w:r>
      <w:r w:rsidRPr="008B6881">
        <w:rPr>
          <w:rFonts w:cstheme="majorHAnsi"/>
          <w:b w:val="0"/>
          <w:bCs w:val="0"/>
          <w:color w:val="auto"/>
          <w:szCs w:val="24"/>
        </w:rPr>
        <w:t>olution</w:t>
      </w:r>
    </w:p>
    <w:p w14:paraId="74A1ABF5" w14:textId="6998B10D" w:rsidR="7C3945D5" w:rsidRPr="008B6881" w:rsidRDefault="7C3945D5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19844843" w14:textId="4911B1E5" w:rsidR="14705114" w:rsidRPr="008B6881" w:rsidRDefault="3A4B98FB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6.1.1</w:t>
      </w:r>
      <w:r w:rsidR="008B6881" w:rsidRPr="008B6881">
        <w:rPr>
          <w:rFonts w:asciiTheme="majorHAnsi" w:hAnsiTheme="majorHAnsi" w:cstheme="majorHAnsi"/>
          <w:szCs w:val="24"/>
        </w:rPr>
        <w:t>.</w:t>
      </w:r>
      <w:r w:rsidR="00291830" w:rsidRPr="008B6881">
        <w:rPr>
          <w:rFonts w:asciiTheme="majorHAnsi" w:hAnsiTheme="majorHAnsi" w:cstheme="majorHAnsi"/>
          <w:szCs w:val="24"/>
        </w:rPr>
        <w:t xml:space="preserve"> </w:t>
      </w:r>
      <w:r w:rsidR="5FF895BF" w:rsidRPr="008B6881">
        <w:rPr>
          <w:rFonts w:asciiTheme="majorHAnsi" w:hAnsiTheme="majorHAnsi" w:cstheme="majorHAnsi"/>
          <w:szCs w:val="24"/>
        </w:rPr>
        <w:t>Place solid NaOH pellets inside a Petri dish next to a sheet of Parafilm to eliminate ambient CO</w:t>
      </w:r>
      <w:r w:rsidR="5FF895BF" w:rsidRPr="008B6881">
        <w:rPr>
          <w:rFonts w:asciiTheme="majorHAnsi" w:hAnsiTheme="majorHAnsi" w:cstheme="majorHAnsi"/>
          <w:szCs w:val="24"/>
          <w:vertAlign w:val="subscript"/>
        </w:rPr>
        <w:t>2</w:t>
      </w:r>
      <w:r w:rsidR="5FF895BF" w:rsidRPr="008B6881">
        <w:rPr>
          <w:rFonts w:asciiTheme="majorHAnsi" w:hAnsiTheme="majorHAnsi" w:cstheme="majorHAnsi"/>
          <w:szCs w:val="24"/>
        </w:rPr>
        <w:t>.</w:t>
      </w:r>
    </w:p>
    <w:p w14:paraId="05F21A10" w14:textId="569B4FF6" w:rsidR="7C3945D5" w:rsidRPr="008B6881" w:rsidRDefault="7C3945D5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18223A00" w14:textId="5E41CB94" w:rsidR="14705114" w:rsidRPr="008B6881" w:rsidRDefault="5FF895BF" w:rsidP="008B6881">
      <w:pPr>
        <w:pStyle w:val="Heading2"/>
        <w:spacing w:before="0" w:after="0"/>
        <w:jc w:val="both"/>
        <w:rPr>
          <w:rFonts w:cstheme="majorHAnsi"/>
          <w:b w:val="0"/>
          <w:bCs w:val="0"/>
          <w:color w:val="auto"/>
          <w:szCs w:val="24"/>
        </w:rPr>
      </w:pPr>
      <w:r w:rsidRPr="008B6881">
        <w:rPr>
          <w:rFonts w:cstheme="majorHAnsi"/>
          <w:b w:val="0"/>
          <w:bCs w:val="0"/>
          <w:color w:val="auto"/>
          <w:szCs w:val="24"/>
        </w:rPr>
        <w:t>6.</w:t>
      </w:r>
      <w:r w:rsidR="3CB9F8D4" w:rsidRPr="008B6881">
        <w:rPr>
          <w:rFonts w:cstheme="majorHAnsi"/>
          <w:b w:val="0"/>
          <w:bCs w:val="0"/>
          <w:color w:val="auto"/>
          <w:szCs w:val="24"/>
        </w:rPr>
        <w:t>2</w:t>
      </w:r>
      <w:r w:rsidRPr="008B6881">
        <w:rPr>
          <w:rFonts w:cstheme="majorHAnsi"/>
          <w:b w:val="0"/>
          <w:bCs w:val="0"/>
          <w:color w:val="auto"/>
          <w:szCs w:val="24"/>
        </w:rPr>
        <w:t xml:space="preserve">. Dispense and 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s</w:t>
      </w:r>
      <w:r w:rsidRPr="008B6881">
        <w:rPr>
          <w:rFonts w:cstheme="majorHAnsi"/>
          <w:b w:val="0"/>
          <w:bCs w:val="0"/>
          <w:color w:val="auto"/>
          <w:szCs w:val="24"/>
        </w:rPr>
        <w:t>tain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.</w:t>
      </w:r>
    </w:p>
    <w:p w14:paraId="05CA448C" w14:textId="36ABD722" w:rsidR="7C3945D5" w:rsidRPr="008B6881" w:rsidRDefault="7C3945D5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2C2646E7" w14:textId="47CD5A1F" w:rsidR="14705114" w:rsidRPr="008B6881" w:rsidRDefault="5FF895BF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6.</w:t>
      </w:r>
      <w:r w:rsidR="3CB9F8D4" w:rsidRPr="008B6881">
        <w:rPr>
          <w:rFonts w:asciiTheme="majorHAnsi" w:hAnsiTheme="majorHAnsi" w:cstheme="majorHAnsi"/>
          <w:szCs w:val="24"/>
        </w:rPr>
        <w:t>2</w:t>
      </w:r>
      <w:r w:rsidRPr="008B6881">
        <w:rPr>
          <w:rFonts w:asciiTheme="majorHAnsi" w:hAnsiTheme="majorHAnsi" w:cstheme="majorHAnsi"/>
          <w:szCs w:val="24"/>
        </w:rPr>
        <w:t>.1. Deposit drops of the filtered solution</w:t>
      </w:r>
      <w:r w:rsidR="07C39B2D" w:rsidRPr="008B6881">
        <w:rPr>
          <w:rFonts w:asciiTheme="majorHAnsi" w:hAnsiTheme="majorHAnsi" w:cstheme="majorHAnsi"/>
          <w:szCs w:val="24"/>
        </w:rPr>
        <w:t xml:space="preserve"> of </w:t>
      </w:r>
      <w:r w:rsidR="0F10359D" w:rsidRPr="008B6881">
        <w:rPr>
          <w:rFonts w:asciiTheme="majorHAnsi" w:hAnsiTheme="majorHAnsi" w:cstheme="majorHAnsi"/>
          <w:szCs w:val="24"/>
        </w:rPr>
        <w:t>Reynolds</w:t>
      </w:r>
      <w:r w:rsidR="00DC157C" w:rsidRPr="008B6881">
        <w:rPr>
          <w:rFonts w:asciiTheme="majorHAnsi" w:hAnsiTheme="majorHAnsi" w:cstheme="majorHAnsi"/>
          <w:szCs w:val="24"/>
        </w:rPr>
        <w:t>’</w:t>
      </w:r>
      <w:r w:rsidR="0F10359D" w:rsidRPr="008B6881">
        <w:rPr>
          <w:rFonts w:asciiTheme="majorHAnsi" w:hAnsiTheme="majorHAnsi" w:cstheme="majorHAnsi"/>
          <w:szCs w:val="24"/>
        </w:rPr>
        <w:t xml:space="preserve"> Solution</w:t>
      </w:r>
      <w:r w:rsidRPr="008B6881">
        <w:rPr>
          <w:rFonts w:asciiTheme="majorHAnsi" w:hAnsiTheme="majorHAnsi" w:cstheme="majorHAnsi"/>
          <w:szCs w:val="24"/>
        </w:rPr>
        <w:t xml:space="preserve"> onto the Parafilm. </w:t>
      </w:r>
    </w:p>
    <w:p w14:paraId="4290ACE0" w14:textId="0DA8AAF9" w:rsidR="7C3945D5" w:rsidRPr="008B6881" w:rsidRDefault="7C3945D5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2A21B4E6" w14:textId="5AC188E7" w:rsidR="14705114" w:rsidRPr="008B6881" w:rsidRDefault="5FF895BF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6.</w:t>
      </w:r>
      <w:r w:rsidR="688A2ED3" w:rsidRPr="008B6881">
        <w:rPr>
          <w:rFonts w:asciiTheme="majorHAnsi" w:hAnsiTheme="majorHAnsi" w:cstheme="majorHAnsi"/>
          <w:szCs w:val="24"/>
        </w:rPr>
        <w:t>2</w:t>
      </w:r>
      <w:r w:rsidRPr="008B6881">
        <w:rPr>
          <w:rFonts w:asciiTheme="majorHAnsi" w:hAnsiTheme="majorHAnsi" w:cstheme="majorHAnsi"/>
          <w:szCs w:val="24"/>
        </w:rPr>
        <w:t>.2. Float TEM grids (section-side down) on the drops and incubate the covered system for 10 min.</w:t>
      </w:r>
    </w:p>
    <w:p w14:paraId="546E9FB3" w14:textId="07E3F90A" w:rsidR="7C3945D5" w:rsidRPr="008B6881" w:rsidRDefault="7C3945D5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7D3A5655" w14:textId="5D196CD4" w:rsidR="14705114" w:rsidRPr="008B6881" w:rsidRDefault="5FF895BF" w:rsidP="008B6881">
      <w:pPr>
        <w:pStyle w:val="Heading2"/>
        <w:spacing w:before="0" w:after="0"/>
        <w:jc w:val="both"/>
        <w:rPr>
          <w:rFonts w:cstheme="majorHAnsi"/>
          <w:b w:val="0"/>
          <w:bCs w:val="0"/>
          <w:color w:val="auto"/>
          <w:szCs w:val="24"/>
        </w:rPr>
      </w:pPr>
      <w:r w:rsidRPr="008B6881">
        <w:rPr>
          <w:rFonts w:cstheme="majorHAnsi"/>
          <w:b w:val="0"/>
          <w:bCs w:val="0"/>
          <w:color w:val="auto"/>
          <w:szCs w:val="24"/>
        </w:rPr>
        <w:t>6.</w:t>
      </w:r>
      <w:r w:rsidR="1C382485" w:rsidRPr="008B6881">
        <w:rPr>
          <w:rFonts w:cstheme="majorHAnsi"/>
          <w:b w:val="0"/>
          <w:bCs w:val="0"/>
          <w:color w:val="auto"/>
          <w:szCs w:val="24"/>
        </w:rPr>
        <w:t>3</w:t>
      </w:r>
      <w:r w:rsidRPr="008B6881">
        <w:rPr>
          <w:rFonts w:cstheme="majorHAnsi"/>
          <w:b w:val="0"/>
          <w:bCs w:val="0"/>
          <w:color w:val="auto"/>
          <w:szCs w:val="24"/>
        </w:rPr>
        <w:t xml:space="preserve">. Wash and 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d</w:t>
      </w:r>
      <w:r w:rsidRPr="008B6881">
        <w:rPr>
          <w:rFonts w:cstheme="majorHAnsi"/>
          <w:b w:val="0"/>
          <w:bCs w:val="0"/>
          <w:color w:val="auto"/>
          <w:szCs w:val="24"/>
        </w:rPr>
        <w:t>ry</w:t>
      </w:r>
      <w:r w:rsidR="008B6881" w:rsidRPr="008B6881">
        <w:rPr>
          <w:rFonts w:cstheme="majorHAnsi"/>
          <w:b w:val="0"/>
          <w:bCs w:val="0"/>
          <w:color w:val="auto"/>
          <w:szCs w:val="24"/>
        </w:rPr>
        <w:t>.</w:t>
      </w:r>
    </w:p>
    <w:p w14:paraId="4F449D8B" w14:textId="37ECDD5F" w:rsidR="7C3945D5" w:rsidRPr="008B6881" w:rsidRDefault="7C3945D5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023E6C10" w14:textId="0899900D" w:rsidR="14705114" w:rsidRPr="008B6881" w:rsidRDefault="5FF895BF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6.</w:t>
      </w:r>
      <w:r w:rsidR="1C382485" w:rsidRPr="008B6881">
        <w:rPr>
          <w:rFonts w:asciiTheme="majorHAnsi" w:hAnsiTheme="majorHAnsi" w:cstheme="majorHAnsi"/>
          <w:szCs w:val="24"/>
        </w:rPr>
        <w:t>3</w:t>
      </w:r>
      <w:r w:rsidRPr="008B6881">
        <w:rPr>
          <w:rFonts w:asciiTheme="majorHAnsi" w:hAnsiTheme="majorHAnsi" w:cstheme="majorHAnsi"/>
          <w:szCs w:val="24"/>
        </w:rPr>
        <w:t>.1.</w:t>
      </w:r>
      <w:r w:rsidR="009D1C58" w:rsidRPr="008B6881">
        <w:rPr>
          <w:rFonts w:asciiTheme="majorHAnsi" w:hAnsiTheme="majorHAnsi" w:cstheme="majorHAnsi"/>
          <w:szCs w:val="24"/>
        </w:rPr>
        <w:t xml:space="preserve"> </w:t>
      </w:r>
      <w:r w:rsidRPr="008B6881">
        <w:rPr>
          <w:rFonts w:asciiTheme="majorHAnsi" w:hAnsiTheme="majorHAnsi" w:cstheme="majorHAnsi"/>
          <w:szCs w:val="24"/>
        </w:rPr>
        <w:t xml:space="preserve">Remove the grids, rinse them immediately in boiled distilled water, and blot excess liquid from the edge using filter paper. </w:t>
      </w:r>
    </w:p>
    <w:p w14:paraId="0496F648" w14:textId="3DD78359" w:rsidR="7C3945D5" w:rsidRPr="008B6881" w:rsidRDefault="7C3945D5" w:rsidP="008B6881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3E7BA05C" w14:textId="1F431349" w:rsidR="14705114" w:rsidRPr="008B6881" w:rsidRDefault="5FF895BF" w:rsidP="008B6881">
      <w:pPr>
        <w:spacing w:after="0"/>
        <w:jc w:val="both"/>
        <w:rPr>
          <w:rFonts w:asciiTheme="majorHAnsi" w:hAnsiTheme="majorHAnsi" w:cstheme="majorHAnsi"/>
          <w:szCs w:val="24"/>
        </w:rPr>
      </w:pPr>
      <w:r w:rsidRPr="008B6881">
        <w:rPr>
          <w:rFonts w:asciiTheme="majorHAnsi" w:hAnsiTheme="majorHAnsi" w:cstheme="majorHAnsi"/>
          <w:szCs w:val="24"/>
        </w:rPr>
        <w:t>6.</w:t>
      </w:r>
      <w:r w:rsidR="5A22F712" w:rsidRPr="008B6881">
        <w:rPr>
          <w:rFonts w:asciiTheme="majorHAnsi" w:hAnsiTheme="majorHAnsi" w:cstheme="majorHAnsi"/>
          <w:szCs w:val="24"/>
        </w:rPr>
        <w:t>3</w:t>
      </w:r>
      <w:r w:rsidRPr="008B6881">
        <w:rPr>
          <w:rFonts w:asciiTheme="majorHAnsi" w:hAnsiTheme="majorHAnsi" w:cstheme="majorHAnsi"/>
          <w:szCs w:val="24"/>
        </w:rPr>
        <w:t xml:space="preserve">.2. Allow to </w:t>
      </w:r>
      <w:proofErr w:type="gramStart"/>
      <w:r w:rsidRPr="008B6881">
        <w:rPr>
          <w:rFonts w:asciiTheme="majorHAnsi" w:hAnsiTheme="majorHAnsi" w:cstheme="majorHAnsi"/>
          <w:szCs w:val="24"/>
        </w:rPr>
        <w:t>air-dry</w:t>
      </w:r>
      <w:proofErr w:type="gramEnd"/>
      <w:r w:rsidRPr="008B6881">
        <w:rPr>
          <w:rFonts w:asciiTheme="majorHAnsi" w:hAnsiTheme="majorHAnsi" w:cstheme="majorHAnsi"/>
          <w:szCs w:val="24"/>
        </w:rPr>
        <w:t xml:space="preserve"> completely.</w:t>
      </w:r>
    </w:p>
    <w:p w14:paraId="11964077" w14:textId="1815A5DB" w:rsidR="4496BC78" w:rsidRPr="008B6881" w:rsidRDefault="4496BC78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0AA12330" w14:textId="1656527D" w:rsidR="4496BC78" w:rsidRPr="008B6881" w:rsidRDefault="4496BC78" w:rsidP="008B6881">
      <w:pPr>
        <w:pStyle w:val="ListParagraph"/>
        <w:spacing w:after="0"/>
        <w:ind w:left="0"/>
        <w:jc w:val="both"/>
        <w:rPr>
          <w:rFonts w:asciiTheme="majorHAnsi" w:hAnsiTheme="majorHAnsi" w:cstheme="majorHAnsi"/>
          <w:szCs w:val="24"/>
        </w:rPr>
      </w:pPr>
    </w:p>
    <w:p w14:paraId="26477631" w14:textId="006747B5" w:rsidR="005F4800" w:rsidRPr="008B6881" w:rsidRDefault="005F4800" w:rsidP="008B6881">
      <w:pPr>
        <w:pStyle w:val="JoVENote"/>
        <w:spacing w:after="0"/>
        <w:jc w:val="both"/>
        <w:rPr>
          <w:rFonts w:asciiTheme="majorHAnsi" w:hAnsiTheme="majorHAnsi" w:cstheme="majorHAnsi"/>
          <w:szCs w:val="24"/>
        </w:rPr>
      </w:pPr>
    </w:p>
    <w:sectPr w:rsidR="005F4800" w:rsidRPr="008B6881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FDEB75"/>
    <w:multiLevelType w:val="hybridMultilevel"/>
    <w:tmpl w:val="347C09B0"/>
    <w:lvl w:ilvl="0" w:tplc="0588798E">
      <w:start w:val="1"/>
      <w:numFmt w:val="decimal"/>
      <w:lvlText w:val="%1."/>
      <w:lvlJc w:val="left"/>
      <w:pPr>
        <w:ind w:left="360" w:hanging="360"/>
      </w:pPr>
    </w:lvl>
    <w:lvl w:ilvl="1" w:tplc="AF5A929E">
      <w:start w:val="1"/>
      <w:numFmt w:val="decimal"/>
      <w:lvlText w:val="%2."/>
      <w:lvlJc w:val="left"/>
      <w:pPr>
        <w:ind w:left="1080" w:hanging="360"/>
      </w:pPr>
    </w:lvl>
    <w:lvl w:ilvl="2" w:tplc="1D222A42">
      <w:start w:val="1"/>
      <w:numFmt w:val="lowerRoman"/>
      <w:lvlText w:val="%3."/>
      <w:lvlJc w:val="right"/>
      <w:pPr>
        <w:ind w:left="1800" w:hanging="180"/>
      </w:pPr>
    </w:lvl>
    <w:lvl w:ilvl="3" w:tplc="6DD8981C">
      <w:start w:val="1"/>
      <w:numFmt w:val="decimal"/>
      <w:lvlText w:val="%4."/>
      <w:lvlJc w:val="left"/>
      <w:pPr>
        <w:ind w:left="2520" w:hanging="360"/>
      </w:pPr>
    </w:lvl>
    <w:lvl w:ilvl="4" w:tplc="E7729F20">
      <w:start w:val="1"/>
      <w:numFmt w:val="lowerLetter"/>
      <w:lvlText w:val="%5."/>
      <w:lvlJc w:val="left"/>
      <w:pPr>
        <w:ind w:left="3240" w:hanging="360"/>
      </w:pPr>
    </w:lvl>
    <w:lvl w:ilvl="5" w:tplc="036CAC50">
      <w:start w:val="1"/>
      <w:numFmt w:val="lowerRoman"/>
      <w:lvlText w:val="%6."/>
      <w:lvlJc w:val="right"/>
      <w:pPr>
        <w:ind w:left="3960" w:hanging="180"/>
      </w:pPr>
    </w:lvl>
    <w:lvl w:ilvl="6" w:tplc="1C30B5E8">
      <w:start w:val="1"/>
      <w:numFmt w:val="decimal"/>
      <w:lvlText w:val="%7."/>
      <w:lvlJc w:val="left"/>
      <w:pPr>
        <w:ind w:left="4680" w:hanging="360"/>
      </w:pPr>
    </w:lvl>
    <w:lvl w:ilvl="7" w:tplc="27EE3346">
      <w:start w:val="1"/>
      <w:numFmt w:val="lowerLetter"/>
      <w:lvlText w:val="%8."/>
      <w:lvlJc w:val="left"/>
      <w:pPr>
        <w:ind w:left="5400" w:hanging="360"/>
      </w:pPr>
    </w:lvl>
    <w:lvl w:ilvl="8" w:tplc="5694C80C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C7CBB1"/>
    <w:multiLevelType w:val="hybridMultilevel"/>
    <w:tmpl w:val="F65E2C60"/>
    <w:lvl w:ilvl="0" w:tplc="BCDCC008">
      <w:start w:val="1"/>
      <w:numFmt w:val="decimal"/>
      <w:lvlText w:val="%1."/>
      <w:lvlJc w:val="left"/>
      <w:pPr>
        <w:ind w:left="720" w:hanging="360"/>
      </w:pPr>
    </w:lvl>
    <w:lvl w:ilvl="1" w:tplc="8F2E4AD4">
      <w:start w:val="1"/>
      <w:numFmt w:val="lowerLetter"/>
      <w:lvlText w:val="%2."/>
      <w:lvlJc w:val="left"/>
      <w:pPr>
        <w:ind w:left="1440" w:hanging="360"/>
      </w:pPr>
    </w:lvl>
    <w:lvl w:ilvl="2" w:tplc="23F60D44">
      <w:start w:val="1"/>
      <w:numFmt w:val="lowerRoman"/>
      <w:lvlText w:val="%3."/>
      <w:lvlJc w:val="right"/>
      <w:pPr>
        <w:ind w:left="2160" w:hanging="180"/>
      </w:pPr>
    </w:lvl>
    <w:lvl w:ilvl="3" w:tplc="5C00D1F2">
      <w:start w:val="1"/>
      <w:numFmt w:val="decimal"/>
      <w:lvlText w:val="%4."/>
      <w:lvlJc w:val="left"/>
      <w:pPr>
        <w:ind w:left="2880" w:hanging="360"/>
      </w:pPr>
    </w:lvl>
    <w:lvl w:ilvl="4" w:tplc="D9843FBE">
      <w:start w:val="1"/>
      <w:numFmt w:val="lowerLetter"/>
      <w:lvlText w:val="%5."/>
      <w:lvlJc w:val="left"/>
      <w:pPr>
        <w:ind w:left="3600" w:hanging="360"/>
      </w:pPr>
    </w:lvl>
    <w:lvl w:ilvl="5" w:tplc="B6FC59CE">
      <w:start w:val="1"/>
      <w:numFmt w:val="lowerRoman"/>
      <w:lvlText w:val="%6."/>
      <w:lvlJc w:val="right"/>
      <w:pPr>
        <w:ind w:left="4320" w:hanging="180"/>
      </w:pPr>
    </w:lvl>
    <w:lvl w:ilvl="6" w:tplc="AD588B42">
      <w:start w:val="1"/>
      <w:numFmt w:val="decimal"/>
      <w:lvlText w:val="%7."/>
      <w:lvlJc w:val="left"/>
      <w:pPr>
        <w:ind w:left="5040" w:hanging="360"/>
      </w:pPr>
    </w:lvl>
    <w:lvl w:ilvl="7" w:tplc="D37AAD08">
      <w:start w:val="1"/>
      <w:numFmt w:val="lowerLetter"/>
      <w:lvlText w:val="%8."/>
      <w:lvlJc w:val="left"/>
      <w:pPr>
        <w:ind w:left="5760" w:hanging="360"/>
      </w:pPr>
    </w:lvl>
    <w:lvl w:ilvl="8" w:tplc="A1B04D3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1FB09"/>
    <w:multiLevelType w:val="hybridMultilevel"/>
    <w:tmpl w:val="41106032"/>
    <w:lvl w:ilvl="0" w:tplc="CE542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EE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FCB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83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E0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43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6C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85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3275D"/>
    <w:multiLevelType w:val="hybridMultilevel"/>
    <w:tmpl w:val="E1749A7C"/>
    <w:lvl w:ilvl="0" w:tplc="EDD80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EC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09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21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85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0A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E5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A0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C7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F76C9"/>
    <w:multiLevelType w:val="multilevel"/>
    <w:tmpl w:val="C786E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2879751">
    <w:abstractNumId w:val="11"/>
  </w:num>
  <w:num w:numId="2" w16cid:durableId="1694258132">
    <w:abstractNumId w:val="9"/>
  </w:num>
  <w:num w:numId="3" w16cid:durableId="932665566">
    <w:abstractNumId w:val="10"/>
  </w:num>
  <w:num w:numId="4" w16cid:durableId="2067410739">
    <w:abstractNumId w:val="12"/>
  </w:num>
  <w:num w:numId="5" w16cid:durableId="220025716">
    <w:abstractNumId w:val="8"/>
  </w:num>
  <w:num w:numId="6" w16cid:durableId="190729544">
    <w:abstractNumId w:val="6"/>
  </w:num>
  <w:num w:numId="7" w16cid:durableId="396978886">
    <w:abstractNumId w:val="5"/>
  </w:num>
  <w:num w:numId="8" w16cid:durableId="1549491451">
    <w:abstractNumId w:val="4"/>
  </w:num>
  <w:num w:numId="9" w16cid:durableId="204176042">
    <w:abstractNumId w:val="7"/>
  </w:num>
  <w:num w:numId="10" w16cid:durableId="138502183">
    <w:abstractNumId w:val="3"/>
  </w:num>
  <w:num w:numId="11" w16cid:durableId="606693748">
    <w:abstractNumId w:val="2"/>
  </w:num>
  <w:num w:numId="12" w16cid:durableId="42102603">
    <w:abstractNumId w:val="1"/>
  </w:num>
  <w:num w:numId="13" w16cid:durableId="2034843691">
    <w:abstractNumId w:val="0"/>
  </w:num>
  <w:num w:numId="14" w16cid:durableId="1156921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467"/>
    <w:rsid w:val="0015074B"/>
    <w:rsid w:val="0019250B"/>
    <w:rsid w:val="002050AD"/>
    <w:rsid w:val="00291830"/>
    <w:rsid w:val="0029639D"/>
    <w:rsid w:val="002A22E4"/>
    <w:rsid w:val="002B5D3C"/>
    <w:rsid w:val="002F4B61"/>
    <w:rsid w:val="00326F90"/>
    <w:rsid w:val="00351439"/>
    <w:rsid w:val="00412CC9"/>
    <w:rsid w:val="00480912"/>
    <w:rsid w:val="004E233E"/>
    <w:rsid w:val="005F4800"/>
    <w:rsid w:val="00671B34"/>
    <w:rsid w:val="006F430E"/>
    <w:rsid w:val="00743D8E"/>
    <w:rsid w:val="00786061"/>
    <w:rsid w:val="007B4253"/>
    <w:rsid w:val="00815172"/>
    <w:rsid w:val="00850136"/>
    <w:rsid w:val="008B6881"/>
    <w:rsid w:val="008F1572"/>
    <w:rsid w:val="00904DA0"/>
    <w:rsid w:val="009320A1"/>
    <w:rsid w:val="0096541B"/>
    <w:rsid w:val="00984F19"/>
    <w:rsid w:val="009A31FD"/>
    <w:rsid w:val="009C497C"/>
    <w:rsid w:val="009D1C58"/>
    <w:rsid w:val="00A55EFC"/>
    <w:rsid w:val="00A7372B"/>
    <w:rsid w:val="00AA1D8D"/>
    <w:rsid w:val="00AC2AA0"/>
    <w:rsid w:val="00B47730"/>
    <w:rsid w:val="00B9945D"/>
    <w:rsid w:val="00BD7CC5"/>
    <w:rsid w:val="00C12A10"/>
    <w:rsid w:val="00C27B80"/>
    <w:rsid w:val="00C73094"/>
    <w:rsid w:val="00C903D6"/>
    <w:rsid w:val="00CB0664"/>
    <w:rsid w:val="00CF3042"/>
    <w:rsid w:val="00D31FC4"/>
    <w:rsid w:val="00D90AD7"/>
    <w:rsid w:val="00DB703A"/>
    <w:rsid w:val="00DC157C"/>
    <w:rsid w:val="00DD2589"/>
    <w:rsid w:val="00DE3DC5"/>
    <w:rsid w:val="00F226FA"/>
    <w:rsid w:val="00F60414"/>
    <w:rsid w:val="00F74593"/>
    <w:rsid w:val="00FC320B"/>
    <w:rsid w:val="00FC693F"/>
    <w:rsid w:val="00FF0DA4"/>
    <w:rsid w:val="0105B931"/>
    <w:rsid w:val="022D23EA"/>
    <w:rsid w:val="02CC3E4F"/>
    <w:rsid w:val="07025D57"/>
    <w:rsid w:val="07BB8A6B"/>
    <w:rsid w:val="07C39B2D"/>
    <w:rsid w:val="07ED76E8"/>
    <w:rsid w:val="098E5974"/>
    <w:rsid w:val="0A1C7DF4"/>
    <w:rsid w:val="0AC615F3"/>
    <w:rsid w:val="0BE1CB5F"/>
    <w:rsid w:val="0E11FDDB"/>
    <w:rsid w:val="0F10359D"/>
    <w:rsid w:val="10035823"/>
    <w:rsid w:val="10CD7543"/>
    <w:rsid w:val="10D7660F"/>
    <w:rsid w:val="135F749C"/>
    <w:rsid w:val="14705114"/>
    <w:rsid w:val="15580E36"/>
    <w:rsid w:val="15698F6B"/>
    <w:rsid w:val="177A003A"/>
    <w:rsid w:val="1839A30B"/>
    <w:rsid w:val="18F48B9C"/>
    <w:rsid w:val="1AE116D9"/>
    <w:rsid w:val="1C382485"/>
    <w:rsid w:val="1D500EFF"/>
    <w:rsid w:val="1DB5F2FA"/>
    <w:rsid w:val="1E97DB8C"/>
    <w:rsid w:val="201F8F51"/>
    <w:rsid w:val="229661CA"/>
    <w:rsid w:val="2431EAA2"/>
    <w:rsid w:val="24EC411E"/>
    <w:rsid w:val="25FA1C9D"/>
    <w:rsid w:val="265D1737"/>
    <w:rsid w:val="267DB575"/>
    <w:rsid w:val="2765A9FE"/>
    <w:rsid w:val="2794CC6F"/>
    <w:rsid w:val="29483BBB"/>
    <w:rsid w:val="29530A5A"/>
    <w:rsid w:val="2A967B4A"/>
    <w:rsid w:val="2D111A8B"/>
    <w:rsid w:val="31729AB9"/>
    <w:rsid w:val="319B307E"/>
    <w:rsid w:val="3254AA41"/>
    <w:rsid w:val="34B10E45"/>
    <w:rsid w:val="36CAF0B4"/>
    <w:rsid w:val="394F2F4B"/>
    <w:rsid w:val="3A089010"/>
    <w:rsid w:val="3A257EFC"/>
    <w:rsid w:val="3A4B98FB"/>
    <w:rsid w:val="3AC871E7"/>
    <w:rsid w:val="3CB9F8D4"/>
    <w:rsid w:val="3F7E7D48"/>
    <w:rsid w:val="3F828AE9"/>
    <w:rsid w:val="4138E01A"/>
    <w:rsid w:val="42F35576"/>
    <w:rsid w:val="4496BC78"/>
    <w:rsid w:val="452F2A42"/>
    <w:rsid w:val="456668A4"/>
    <w:rsid w:val="45BC718A"/>
    <w:rsid w:val="4652BA51"/>
    <w:rsid w:val="4B1A1F00"/>
    <w:rsid w:val="4C5E1468"/>
    <w:rsid w:val="4D220F4B"/>
    <w:rsid w:val="4E4E6983"/>
    <w:rsid w:val="4E577B6E"/>
    <w:rsid w:val="4F9FD4D6"/>
    <w:rsid w:val="52E5F3DE"/>
    <w:rsid w:val="53377E61"/>
    <w:rsid w:val="5413469D"/>
    <w:rsid w:val="55D91780"/>
    <w:rsid w:val="56975CF6"/>
    <w:rsid w:val="589FEF23"/>
    <w:rsid w:val="592E7C9C"/>
    <w:rsid w:val="5996D667"/>
    <w:rsid w:val="59E5410B"/>
    <w:rsid w:val="5A22F712"/>
    <w:rsid w:val="5AEB84F9"/>
    <w:rsid w:val="5B00DF42"/>
    <w:rsid w:val="5B38B33C"/>
    <w:rsid w:val="5B776000"/>
    <w:rsid w:val="5BF00BF2"/>
    <w:rsid w:val="5C794479"/>
    <w:rsid w:val="5CA7188F"/>
    <w:rsid w:val="5CA9AE57"/>
    <w:rsid w:val="5CE70C48"/>
    <w:rsid w:val="5DAB6390"/>
    <w:rsid w:val="5F06C93A"/>
    <w:rsid w:val="5F4067F2"/>
    <w:rsid w:val="5F6377D3"/>
    <w:rsid w:val="5FA78812"/>
    <w:rsid w:val="5FF895BF"/>
    <w:rsid w:val="6058FB25"/>
    <w:rsid w:val="623CE553"/>
    <w:rsid w:val="63B4D511"/>
    <w:rsid w:val="64335BC3"/>
    <w:rsid w:val="651F1123"/>
    <w:rsid w:val="654AED19"/>
    <w:rsid w:val="6587CA5D"/>
    <w:rsid w:val="65BA5AAE"/>
    <w:rsid w:val="67B75D83"/>
    <w:rsid w:val="688A2ED3"/>
    <w:rsid w:val="6BA659DA"/>
    <w:rsid w:val="6BE50AF6"/>
    <w:rsid w:val="6DFD4613"/>
    <w:rsid w:val="6E82C55F"/>
    <w:rsid w:val="6EE7063F"/>
    <w:rsid w:val="6F34B021"/>
    <w:rsid w:val="6F6C492B"/>
    <w:rsid w:val="6F6FC4D6"/>
    <w:rsid w:val="7017B40C"/>
    <w:rsid w:val="747DCD38"/>
    <w:rsid w:val="74AE0A21"/>
    <w:rsid w:val="7556CD82"/>
    <w:rsid w:val="75AED3EC"/>
    <w:rsid w:val="763896B4"/>
    <w:rsid w:val="78073FD8"/>
    <w:rsid w:val="79B0E046"/>
    <w:rsid w:val="7C3945D5"/>
    <w:rsid w:val="7D167A22"/>
    <w:rsid w:val="7D726A3D"/>
    <w:rsid w:val="7E76DEB6"/>
    <w:rsid w:val="7ED88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C71BD"/>
  <w14:defaultImageDpi w14:val="300"/>
  <w15:docId w15:val="{36EE1BDF-EEBB-43CF-9ADE-3B821E1F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40" w:lineRule="auto"/>
    </w:pPr>
    <w:rPr>
      <w:rFonts w:ascii="Calibri" w:eastAsia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before="12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JoVENote">
    <w:name w:val="JoVE Note"/>
    <w:basedOn w:val="Normal"/>
  </w:style>
  <w:style w:type="paragraph" w:styleId="Revision">
    <w:name w:val="Revision"/>
    <w:hidden/>
    <w:uiPriority w:val="99"/>
    <w:semiHidden/>
    <w:rsid w:val="00F60414"/>
    <w:pPr>
      <w:spacing w:after="0" w:line="240" w:lineRule="auto"/>
    </w:pPr>
    <w:rPr>
      <w:rFonts w:ascii="Calibri" w:eastAsia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F848B506875489CE1594B9D10A36D" ma:contentTypeVersion="19" ma:contentTypeDescription="Create a new document." ma:contentTypeScope="" ma:versionID="0e3bac7c7b0d48bc6e0204eead5bbb98">
  <xsd:schema xmlns:xsd="http://www.w3.org/2001/XMLSchema" xmlns:xs="http://www.w3.org/2001/XMLSchema" xmlns:p="http://schemas.microsoft.com/office/2006/metadata/properties" xmlns:ns3="84803231-fef1-4b49-b185-003951170bf7" xmlns:ns4="5702ebb4-28d9-4407-ba3b-a1a0c43ea688" targetNamespace="http://schemas.microsoft.com/office/2006/metadata/properties" ma:root="true" ma:fieldsID="4916156d43fe7240ed0bf088356e8723" ns3:_="" ns4:_="">
    <xsd:import namespace="84803231-fef1-4b49-b185-003951170bf7"/>
    <xsd:import namespace="5702ebb4-28d9-4407-ba3b-a1a0c43ea6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03231-fef1-4b49-b185-003951170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2ebb4-28d9-4407-ba3b-a1a0c43ea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03231-fef1-4b49-b185-003951170bf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8621A-E577-4AED-BCA7-5D1805F28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03231-fef1-4b49-b185-003951170bf7"/>
    <ds:schemaRef ds:uri="5702ebb4-28d9-4407-ba3b-a1a0c43ea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E9D789-0825-412A-A50F-14A9131E69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861CA0-2574-497A-AFE4-6B63DFD0D93D}">
  <ds:schemaRefs>
    <ds:schemaRef ds:uri="http://schemas.microsoft.com/office/2006/metadata/properties"/>
    <ds:schemaRef ds:uri="http://schemas.microsoft.com/office/infopath/2007/PartnerControls"/>
    <ds:schemaRef ds:uri="84803231-fef1-4b49-b185-003951170b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1211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/>
      <vt:lpstr>Animals</vt:lpstr>
      <vt:lpstr>Statistical analysis</vt:lpstr>
      <vt:lpstr>Flow cytometry acquisition and analysis</vt:lpstr>
      <vt:lpstr>Microscopy and image acquisition</vt:lpstr>
      <vt:lpstr>    Live-cell imaging</vt:lpstr>
      <vt:lpstr>    Fixed-cell imaging</vt:lpstr>
      <vt:lpstr>    </vt:lpstr>
      <vt:lpstr>    4.3. TEM imaging</vt:lpstr>
      <vt:lpstr>    5. Primary Brown Adipocyte Isolation and Differentiation</vt:lpstr>
      <vt:lpstr>    5.1. Dissect and Digest Tissue </vt:lpstr>
      <vt:lpstr>    5.2. Isolate and Purify Stromal Vascular Fraction </vt:lpstr>
      <vt:lpstr>    5.3. Cell Culture and Expansion </vt:lpstr>
      <vt:lpstr>    5.4. Adipogenic Differentiation Induction.</vt:lpstr>
      <vt:lpstr>    6. Reynolds’ Method (Lead Citrate Contrast Staining)</vt:lpstr>
      <vt:lpstr>    6.1 Preparation of the chamber for Reynolds’ Solution</vt:lpstr>
      <vt:lpstr>    6.2. Dispense and Stain</vt:lpstr>
      <vt:lpstr>    6.3. Wash and Dry</vt:lpstr>
    </vt:vector>
  </TitlesOfParts>
  <Manager/>
  <Company/>
  <LinksUpToDate>false</LinksUpToDate>
  <CharactersWithSpaces>8098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Vidhya Iyer</cp:lastModifiedBy>
  <cp:revision>7</cp:revision>
  <dcterms:created xsi:type="dcterms:W3CDTF">2026-05-26T02:02:00Z</dcterms:created>
  <dcterms:modified xsi:type="dcterms:W3CDTF">2026-05-26T09:29:00Z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740197d4-8ad7-4096-925d-43dc22e1922a</vt:lpwstr>
  </property>
  <property fmtid="{D5CDD505-2E9C-101B-9397-08002B2CF9AE}" pid="3" name="ContentTypeId">
    <vt:lpwstr>0x0101008D6F848B506875489CE1594B9D10A36D</vt:lpwstr>
  </property>
</Properties>
</file>