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4A9BF" w14:textId="77777777" w:rsidR="009B7ACD" w:rsidRPr="00364FA2" w:rsidRDefault="00000000" w:rsidP="00364FA2">
      <w:pPr>
        <w:rPr>
          <w:rFonts w:cstheme="minorHAnsi"/>
          <w:sz w:val="24"/>
        </w:rPr>
      </w:pPr>
      <w:r w:rsidRPr="00364FA2">
        <w:rPr>
          <w:rFonts w:cstheme="minorHAnsi"/>
          <w:noProof/>
          <w:sz w:val="24"/>
        </w:rPr>
        <w:drawing>
          <wp:inline distT="0" distB="0" distL="114300" distR="114300" wp14:anchorId="08506FA7" wp14:editId="10D80774">
            <wp:extent cx="5274310" cy="3325495"/>
            <wp:effectExtent l="0" t="0" r="8890" b="1905"/>
            <wp:docPr id="1" name="图片 1" descr="Supplementary Fil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l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511DE" w14:textId="141F7F87" w:rsidR="009B7ACD" w:rsidRPr="00364FA2" w:rsidRDefault="00000000" w:rsidP="00364FA2">
      <w:pPr>
        <w:rPr>
          <w:rFonts w:cstheme="minorHAnsi"/>
          <w:b/>
          <w:bCs/>
          <w:sz w:val="24"/>
        </w:rPr>
      </w:pPr>
      <w:r w:rsidRPr="00364FA2">
        <w:rPr>
          <w:rFonts w:cstheme="minorHAnsi"/>
          <w:b/>
          <w:bCs/>
          <w:sz w:val="24"/>
        </w:rPr>
        <w:t>Supplementa</w:t>
      </w:r>
      <w:r w:rsidR="00364FA2" w:rsidRPr="00364FA2">
        <w:rPr>
          <w:rFonts w:cstheme="minorHAnsi"/>
          <w:b/>
          <w:bCs/>
          <w:sz w:val="24"/>
        </w:rPr>
        <w:t>l</w:t>
      </w:r>
      <w:r w:rsidRPr="00364FA2">
        <w:rPr>
          <w:rFonts w:cstheme="minorHAnsi"/>
          <w:b/>
          <w:bCs/>
          <w:sz w:val="24"/>
        </w:rPr>
        <w:t xml:space="preserve"> Figure S1. Quality assessment of expression normalization in GSE75360 and GSE74144</w:t>
      </w:r>
      <w:r w:rsidR="00364FA2" w:rsidRPr="00364FA2">
        <w:rPr>
          <w:rFonts w:cstheme="minorHAnsi"/>
          <w:b/>
          <w:bCs/>
          <w:sz w:val="24"/>
        </w:rPr>
        <w:t>.</w:t>
      </w:r>
      <w:r w:rsidR="00364FA2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364FA2">
        <w:rPr>
          <w:rFonts w:cstheme="minorHAnsi"/>
          <w:b/>
          <w:bCs/>
          <w:sz w:val="24"/>
        </w:rPr>
        <w:t>A</w:t>
      </w:r>
      <w:r w:rsidRPr="00364FA2">
        <w:rPr>
          <w:rFonts w:cstheme="minorHAnsi"/>
          <w:sz w:val="24"/>
        </w:rPr>
        <w:t>) Boxplot of expression distributions in GSE75360 before normalization.</w:t>
      </w:r>
      <w:r w:rsidR="00364FA2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364FA2">
        <w:rPr>
          <w:rFonts w:cstheme="minorHAnsi"/>
          <w:b/>
          <w:bCs/>
          <w:sz w:val="24"/>
        </w:rPr>
        <w:t>B</w:t>
      </w:r>
      <w:r w:rsidRPr="00364FA2">
        <w:rPr>
          <w:rFonts w:cstheme="minorHAnsi"/>
          <w:sz w:val="24"/>
        </w:rPr>
        <w:t>) Boxplot of expression distributions in GSE75360 after normalization.</w:t>
      </w:r>
      <w:r w:rsidR="00364FA2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364FA2">
        <w:rPr>
          <w:rFonts w:cstheme="minorHAnsi"/>
          <w:b/>
          <w:bCs/>
          <w:sz w:val="24"/>
        </w:rPr>
        <w:t>C</w:t>
      </w:r>
      <w:r w:rsidRPr="00364FA2">
        <w:rPr>
          <w:rFonts w:cstheme="minorHAnsi"/>
          <w:sz w:val="24"/>
        </w:rPr>
        <w:t>) Boxplot of expression distributions in GSE74144 before normalization.</w:t>
      </w:r>
      <w:r w:rsidR="00364FA2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364FA2">
        <w:rPr>
          <w:rFonts w:cstheme="minorHAnsi"/>
          <w:b/>
          <w:bCs/>
          <w:sz w:val="24"/>
        </w:rPr>
        <w:t>D</w:t>
      </w:r>
      <w:r w:rsidRPr="00364FA2">
        <w:rPr>
          <w:rFonts w:cstheme="minorHAnsi"/>
          <w:sz w:val="24"/>
        </w:rPr>
        <w:t>) Boxplot of expression distributions in GSE74144 after normalization.</w:t>
      </w:r>
      <w:r w:rsidR="00364FA2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 xml:space="preserve">Orange indicates hypertension samples and blue indicates control samples. These plots show that between-sample expression distributions became more comparable after normalization, supporting the use of </w:t>
      </w:r>
      <w:proofErr w:type="gramStart"/>
      <w:r w:rsidRPr="00364FA2">
        <w:rPr>
          <w:rFonts w:cstheme="minorHAnsi"/>
          <w:sz w:val="24"/>
        </w:rPr>
        <w:t>the processed</w:t>
      </w:r>
      <w:proofErr w:type="gramEnd"/>
      <w:r w:rsidRPr="00364FA2">
        <w:rPr>
          <w:rFonts w:cstheme="minorHAnsi"/>
          <w:sz w:val="24"/>
        </w:rPr>
        <w:t xml:space="preserve"> data for downstream analyses.</w:t>
      </w:r>
    </w:p>
    <w:p w14:paraId="15AB662A" w14:textId="77777777" w:rsidR="009B7ACD" w:rsidRPr="00364FA2" w:rsidRDefault="00000000" w:rsidP="00364FA2">
      <w:pPr>
        <w:rPr>
          <w:rFonts w:cstheme="minorHAnsi"/>
          <w:sz w:val="24"/>
        </w:rPr>
      </w:pPr>
      <w:r w:rsidRPr="00364FA2">
        <w:rPr>
          <w:rFonts w:cstheme="minorHAnsi"/>
          <w:sz w:val="24"/>
        </w:rPr>
        <w:br w:type="page"/>
      </w:r>
    </w:p>
    <w:p w14:paraId="6B7B1E0A" w14:textId="77777777" w:rsidR="009B7ACD" w:rsidRPr="00364FA2" w:rsidRDefault="00000000" w:rsidP="00364FA2">
      <w:pPr>
        <w:rPr>
          <w:rFonts w:cstheme="minorHAnsi"/>
          <w:sz w:val="24"/>
        </w:rPr>
      </w:pPr>
      <w:r w:rsidRPr="00364FA2">
        <w:rPr>
          <w:rFonts w:cstheme="minorHAnsi"/>
          <w:noProof/>
          <w:sz w:val="24"/>
        </w:rPr>
        <w:lastRenderedPageBreak/>
        <w:drawing>
          <wp:inline distT="0" distB="0" distL="114300" distR="114300" wp14:anchorId="4AA29FF1" wp14:editId="5BDEC03C">
            <wp:extent cx="5269865" cy="6510020"/>
            <wp:effectExtent l="0" t="0" r="635" b="5080"/>
            <wp:docPr id="2" name="图片 2" descr="Supplementary Fil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 Fil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51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291DC" w14:textId="66407DB5" w:rsidR="009B7ACD" w:rsidRPr="007B7AB8" w:rsidRDefault="00000000" w:rsidP="00364FA2">
      <w:pPr>
        <w:rPr>
          <w:rFonts w:cstheme="minorHAnsi"/>
          <w:b/>
          <w:bCs/>
          <w:sz w:val="24"/>
        </w:rPr>
      </w:pPr>
      <w:r w:rsidRPr="007B7AB8">
        <w:rPr>
          <w:rFonts w:cstheme="minorHAnsi"/>
          <w:b/>
          <w:bCs/>
          <w:sz w:val="24"/>
        </w:rPr>
        <w:t>Supplementa</w:t>
      </w:r>
      <w:r w:rsidR="007B7AB8" w:rsidRPr="007B7AB8">
        <w:rPr>
          <w:rFonts w:cstheme="minorHAnsi"/>
          <w:b/>
          <w:bCs/>
          <w:sz w:val="24"/>
        </w:rPr>
        <w:t>l</w:t>
      </w:r>
      <w:r w:rsidRPr="007B7AB8">
        <w:rPr>
          <w:rFonts w:cstheme="minorHAnsi"/>
          <w:b/>
          <w:bCs/>
          <w:sz w:val="24"/>
        </w:rPr>
        <w:t xml:space="preserve"> Figure S2. Validation and correlation analysis of the 18 RAS-related differentially expressed genes in GSE75360</w:t>
      </w:r>
      <w:r w:rsidR="007B7AB8" w:rsidRPr="007B7AB8">
        <w:rPr>
          <w:rFonts w:cstheme="minorHAnsi"/>
          <w:b/>
          <w:bCs/>
          <w:sz w:val="24"/>
        </w:rPr>
        <w:t xml:space="preserve">. </w:t>
      </w:r>
      <w:r w:rsidRPr="00364FA2">
        <w:rPr>
          <w:rFonts w:cstheme="minorHAnsi"/>
          <w:sz w:val="24"/>
        </w:rPr>
        <w:t>(</w:t>
      </w:r>
      <w:r w:rsidRPr="007B7AB8">
        <w:rPr>
          <w:rFonts w:cstheme="minorHAnsi"/>
          <w:b/>
          <w:bCs/>
          <w:sz w:val="24"/>
        </w:rPr>
        <w:t>A</w:t>
      </w:r>
      <w:r w:rsidRPr="00364FA2">
        <w:rPr>
          <w:rFonts w:cstheme="minorHAnsi"/>
          <w:sz w:val="24"/>
        </w:rPr>
        <w:t>) Group comparison plot showing expression differences of the 18 RASRDEGs between hypertension and control samples in GSE75360.</w:t>
      </w:r>
      <w:r w:rsidR="007B7AB8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7B7AB8">
        <w:rPr>
          <w:rFonts w:cstheme="minorHAnsi"/>
          <w:b/>
          <w:bCs/>
          <w:sz w:val="24"/>
        </w:rPr>
        <w:t>B-E</w:t>
      </w:r>
      <w:r w:rsidRPr="00364FA2">
        <w:rPr>
          <w:rFonts w:cstheme="minorHAnsi"/>
          <w:sz w:val="24"/>
        </w:rPr>
        <w:t>) ROC curves of the significantly different RASRDEGs for distinguishing hypertension from control samples in GSE75360.</w:t>
      </w:r>
      <w:r w:rsidR="007B7AB8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7B7AB8">
        <w:rPr>
          <w:rFonts w:cstheme="minorHAnsi"/>
          <w:b/>
          <w:bCs/>
          <w:sz w:val="24"/>
        </w:rPr>
        <w:t>F</w:t>
      </w:r>
      <w:r w:rsidRPr="00364FA2">
        <w:rPr>
          <w:rFonts w:cstheme="minorHAnsi"/>
          <w:sz w:val="24"/>
        </w:rPr>
        <w:t>) Correlation heatmap of the 18 RASRDEGs in GSE75360.</w:t>
      </w:r>
      <w:r w:rsidR="007B7AB8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These analyses show that multiple RASRDEGs differ significantly between groups, display moderate discriminatory ability, and exhibit coordinated expression patterns.</w:t>
      </w:r>
    </w:p>
    <w:p w14:paraId="28226057" w14:textId="77777777" w:rsidR="009B7ACD" w:rsidRPr="00364FA2" w:rsidRDefault="00000000" w:rsidP="00364FA2">
      <w:pPr>
        <w:rPr>
          <w:rFonts w:cstheme="minorHAnsi"/>
          <w:sz w:val="24"/>
        </w:rPr>
      </w:pPr>
      <w:r w:rsidRPr="00364FA2">
        <w:rPr>
          <w:rFonts w:cstheme="minorHAnsi"/>
          <w:sz w:val="24"/>
        </w:rPr>
        <w:br w:type="page"/>
      </w:r>
    </w:p>
    <w:p w14:paraId="49D6C505" w14:textId="77777777" w:rsidR="009B7ACD" w:rsidRPr="00364FA2" w:rsidRDefault="00000000" w:rsidP="00364FA2">
      <w:pPr>
        <w:rPr>
          <w:rFonts w:cstheme="minorHAnsi"/>
          <w:sz w:val="24"/>
        </w:rPr>
      </w:pPr>
      <w:r w:rsidRPr="00364FA2">
        <w:rPr>
          <w:rFonts w:cstheme="minorHAnsi"/>
          <w:noProof/>
          <w:sz w:val="24"/>
        </w:rPr>
        <w:drawing>
          <wp:inline distT="0" distB="0" distL="114300" distR="114300" wp14:anchorId="0B8195EB" wp14:editId="0560FCDD">
            <wp:extent cx="5267960" cy="5652770"/>
            <wp:effectExtent l="0" t="0" r="2540" b="11430"/>
            <wp:docPr id="3" name="图片 3" descr="Supplementary File 4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upplementary File 4 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565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5903E" w14:textId="53B8CA14" w:rsidR="009B7ACD" w:rsidRPr="00364FA2" w:rsidRDefault="00000000" w:rsidP="00364FA2">
      <w:pPr>
        <w:rPr>
          <w:rFonts w:cstheme="minorHAnsi"/>
          <w:sz w:val="24"/>
        </w:rPr>
      </w:pPr>
      <w:r w:rsidRPr="007B7AB8">
        <w:rPr>
          <w:rFonts w:cstheme="minorHAnsi"/>
          <w:b/>
          <w:bCs/>
          <w:sz w:val="24"/>
        </w:rPr>
        <w:t>Supplementa</w:t>
      </w:r>
      <w:r w:rsidR="007B7AB8" w:rsidRPr="007B7AB8">
        <w:rPr>
          <w:rFonts w:cstheme="minorHAnsi"/>
          <w:b/>
          <w:bCs/>
          <w:sz w:val="24"/>
        </w:rPr>
        <w:t>l</w:t>
      </w:r>
      <w:r w:rsidRPr="007B7AB8">
        <w:rPr>
          <w:rFonts w:cstheme="minorHAnsi"/>
          <w:b/>
          <w:bCs/>
          <w:sz w:val="24"/>
        </w:rPr>
        <w:t xml:space="preserve"> Figure S3. GO and KEGG enrichment visualization of the 18 RASRDEGs</w:t>
      </w:r>
      <w:r w:rsidR="007B7AB8">
        <w:rPr>
          <w:rFonts w:cstheme="minorHAnsi"/>
          <w:sz w:val="24"/>
        </w:rPr>
        <w:t xml:space="preserve">. </w:t>
      </w:r>
      <w:r w:rsidRPr="00364FA2">
        <w:rPr>
          <w:rFonts w:cstheme="minorHAnsi"/>
          <w:sz w:val="24"/>
        </w:rPr>
        <w:t>(</w:t>
      </w:r>
      <w:r w:rsidRPr="007B7AB8">
        <w:rPr>
          <w:rFonts w:cstheme="minorHAnsi"/>
          <w:b/>
          <w:bCs/>
          <w:sz w:val="24"/>
        </w:rPr>
        <w:t>A</w:t>
      </w:r>
      <w:r w:rsidRPr="00364FA2">
        <w:rPr>
          <w:rFonts w:cstheme="minorHAnsi"/>
          <w:sz w:val="24"/>
        </w:rPr>
        <w:t>) Bubble plot of significantly enriched GO terms and KEGG pathways for the 18 RASRDEGs.</w:t>
      </w:r>
      <w:r w:rsidR="007B7AB8">
        <w:rPr>
          <w:rFonts w:cstheme="minorHAnsi"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7B7AB8">
        <w:rPr>
          <w:rFonts w:cstheme="minorHAnsi"/>
          <w:b/>
          <w:bCs/>
          <w:sz w:val="24"/>
        </w:rPr>
        <w:t>B</w:t>
      </w:r>
      <w:r w:rsidRPr="00364FA2">
        <w:rPr>
          <w:rFonts w:cstheme="minorHAnsi"/>
          <w:sz w:val="24"/>
        </w:rPr>
        <w:t>) Network plot of enriched biological process terms.</w:t>
      </w:r>
      <w:r w:rsidR="007B7AB8">
        <w:rPr>
          <w:rFonts w:cstheme="minorHAnsi"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7B7AB8">
        <w:rPr>
          <w:rFonts w:cstheme="minorHAnsi"/>
          <w:b/>
          <w:bCs/>
          <w:sz w:val="24"/>
        </w:rPr>
        <w:t>C</w:t>
      </w:r>
      <w:r w:rsidRPr="00364FA2">
        <w:rPr>
          <w:rFonts w:cstheme="minorHAnsi"/>
          <w:sz w:val="24"/>
        </w:rPr>
        <w:t>) Network plot of enriched cellular component terms.</w:t>
      </w:r>
      <w:r w:rsidR="007B7AB8">
        <w:rPr>
          <w:rFonts w:cstheme="minorHAnsi"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7B7AB8">
        <w:rPr>
          <w:rFonts w:cstheme="minorHAnsi"/>
          <w:b/>
          <w:bCs/>
          <w:sz w:val="24"/>
        </w:rPr>
        <w:t>D</w:t>
      </w:r>
      <w:r w:rsidRPr="00364FA2">
        <w:rPr>
          <w:rFonts w:cstheme="minorHAnsi"/>
          <w:sz w:val="24"/>
        </w:rPr>
        <w:t>) Network plot of enriched molecular function terms.</w:t>
      </w:r>
      <w:r w:rsidR="007B7AB8">
        <w:rPr>
          <w:rFonts w:cstheme="minorHAnsi"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7B7AB8">
        <w:rPr>
          <w:rFonts w:cstheme="minorHAnsi"/>
          <w:b/>
          <w:bCs/>
          <w:sz w:val="24"/>
        </w:rPr>
        <w:t>E</w:t>
      </w:r>
      <w:r w:rsidRPr="00364FA2">
        <w:rPr>
          <w:rFonts w:cstheme="minorHAnsi"/>
          <w:sz w:val="24"/>
        </w:rPr>
        <w:t>) Network plot of enriched KEGG pathways.</w:t>
      </w:r>
      <w:r w:rsidR="007B7AB8">
        <w:rPr>
          <w:rFonts w:cstheme="minorHAnsi"/>
          <w:sz w:val="24"/>
        </w:rPr>
        <w:t xml:space="preserve"> </w:t>
      </w:r>
      <w:r w:rsidRPr="00364FA2">
        <w:rPr>
          <w:rFonts w:cstheme="minorHAnsi"/>
          <w:sz w:val="24"/>
        </w:rPr>
        <w:t>These enrichment results indicate that the identified RASRDEGs are associated mainly with immune/inflammatory processes, vesicle-related cellular components, and vascular/inflammatory signaling pathways.</w:t>
      </w:r>
    </w:p>
    <w:p w14:paraId="56DB7C3B" w14:textId="77777777" w:rsidR="009B7ACD" w:rsidRPr="00364FA2" w:rsidRDefault="009B7ACD" w:rsidP="00364FA2">
      <w:pPr>
        <w:rPr>
          <w:rFonts w:cstheme="minorHAnsi"/>
          <w:sz w:val="24"/>
        </w:rPr>
      </w:pPr>
    </w:p>
    <w:p w14:paraId="3D39B7E1" w14:textId="77777777" w:rsidR="009B7ACD" w:rsidRPr="00364FA2" w:rsidRDefault="00000000" w:rsidP="00364FA2">
      <w:pPr>
        <w:rPr>
          <w:rFonts w:cstheme="minorHAnsi"/>
          <w:sz w:val="24"/>
        </w:rPr>
      </w:pPr>
      <w:r w:rsidRPr="00364FA2">
        <w:rPr>
          <w:rFonts w:cstheme="minorHAnsi"/>
          <w:sz w:val="24"/>
        </w:rPr>
        <w:br w:type="page"/>
      </w:r>
    </w:p>
    <w:p w14:paraId="6A500169" w14:textId="77777777" w:rsidR="009B7ACD" w:rsidRPr="00364FA2" w:rsidRDefault="00000000" w:rsidP="00364FA2">
      <w:pPr>
        <w:rPr>
          <w:rFonts w:cstheme="minorHAnsi"/>
          <w:sz w:val="24"/>
        </w:rPr>
      </w:pPr>
      <w:r w:rsidRPr="00364FA2">
        <w:rPr>
          <w:rFonts w:cstheme="minorHAnsi"/>
          <w:noProof/>
          <w:sz w:val="24"/>
        </w:rPr>
        <w:drawing>
          <wp:inline distT="0" distB="0" distL="114300" distR="114300" wp14:anchorId="74D16F5E" wp14:editId="21AA551F">
            <wp:extent cx="5274310" cy="4108450"/>
            <wp:effectExtent l="0" t="0" r="8890" b="6350"/>
            <wp:docPr id="4" name="图片 4" descr="Supplementary Fil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l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E11A" w14:textId="49A6F282" w:rsidR="009B7ACD" w:rsidRPr="007B7AB8" w:rsidRDefault="00000000" w:rsidP="00364FA2">
      <w:pPr>
        <w:rPr>
          <w:rFonts w:cstheme="minorHAnsi"/>
          <w:b/>
          <w:bCs/>
          <w:sz w:val="24"/>
        </w:rPr>
      </w:pPr>
      <w:r w:rsidRPr="007B7AB8">
        <w:rPr>
          <w:rFonts w:cstheme="minorHAnsi"/>
          <w:b/>
          <w:bCs/>
          <w:sz w:val="24"/>
        </w:rPr>
        <w:t>Supplementa</w:t>
      </w:r>
      <w:r w:rsidR="007B7AB8" w:rsidRPr="007B7AB8">
        <w:rPr>
          <w:rFonts w:cstheme="minorHAnsi"/>
          <w:b/>
          <w:bCs/>
          <w:sz w:val="24"/>
        </w:rPr>
        <w:t>l</w:t>
      </w:r>
      <w:r w:rsidRPr="007B7AB8">
        <w:rPr>
          <w:rFonts w:cstheme="minorHAnsi"/>
          <w:b/>
          <w:bCs/>
          <w:sz w:val="24"/>
        </w:rPr>
        <w:t xml:space="preserve"> Figure S4. </w:t>
      </w:r>
      <w:proofErr w:type="spellStart"/>
      <w:r w:rsidRPr="007B7AB8">
        <w:rPr>
          <w:rFonts w:cstheme="minorHAnsi"/>
          <w:b/>
          <w:bCs/>
          <w:sz w:val="24"/>
        </w:rPr>
        <w:t>Preranked</w:t>
      </w:r>
      <w:proofErr w:type="spellEnd"/>
      <w:r w:rsidRPr="007B7AB8">
        <w:rPr>
          <w:rFonts w:cstheme="minorHAnsi"/>
          <w:b/>
          <w:bCs/>
          <w:sz w:val="24"/>
        </w:rPr>
        <w:t xml:space="preserve"> GSEA of the ranked gene list in GSE75360</w:t>
      </w:r>
      <w:r w:rsidR="007B7AB8" w:rsidRPr="007B7AB8">
        <w:rPr>
          <w:rFonts w:cstheme="minorHAnsi"/>
          <w:b/>
          <w:bCs/>
          <w:sz w:val="24"/>
        </w:rPr>
        <w:t>.</w:t>
      </w:r>
      <w:r w:rsidR="007B7AB8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7B7AB8">
        <w:rPr>
          <w:rFonts w:cstheme="minorHAnsi"/>
          <w:b/>
          <w:bCs/>
          <w:sz w:val="24"/>
        </w:rPr>
        <w:t>A</w:t>
      </w:r>
      <w:r w:rsidRPr="00364FA2">
        <w:rPr>
          <w:rFonts w:cstheme="minorHAnsi"/>
          <w:sz w:val="24"/>
        </w:rPr>
        <w:t xml:space="preserve">) Overview plot of significant gene sets identified by </w:t>
      </w:r>
      <w:proofErr w:type="spellStart"/>
      <w:r w:rsidRPr="00364FA2">
        <w:rPr>
          <w:rFonts w:cstheme="minorHAnsi"/>
          <w:sz w:val="24"/>
        </w:rPr>
        <w:t>preranked</w:t>
      </w:r>
      <w:proofErr w:type="spellEnd"/>
      <w:r w:rsidRPr="00364FA2">
        <w:rPr>
          <w:rFonts w:cstheme="minorHAnsi"/>
          <w:sz w:val="24"/>
        </w:rPr>
        <w:t xml:space="preserve"> GSEA in GSE75360.</w:t>
      </w:r>
      <w:r w:rsidR="007B7AB8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7B7AB8">
        <w:rPr>
          <w:rFonts w:cstheme="minorHAnsi"/>
          <w:b/>
          <w:bCs/>
          <w:sz w:val="24"/>
        </w:rPr>
        <w:t>B</w:t>
      </w:r>
      <w:r w:rsidRPr="00364FA2">
        <w:rPr>
          <w:rFonts w:cstheme="minorHAnsi"/>
          <w:sz w:val="24"/>
        </w:rPr>
        <w:t>) Enrichment plot for Overview of Proinflammatory and Profibrotic Mediators.</w:t>
      </w:r>
      <w:r w:rsidR="007B7AB8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7B7AB8">
        <w:rPr>
          <w:rFonts w:cstheme="minorHAnsi"/>
          <w:b/>
          <w:bCs/>
          <w:sz w:val="24"/>
        </w:rPr>
        <w:t>C</w:t>
      </w:r>
      <w:r w:rsidRPr="00364FA2">
        <w:rPr>
          <w:rFonts w:cstheme="minorHAnsi"/>
          <w:sz w:val="24"/>
        </w:rPr>
        <w:t>) Enrichment plot for Immune Infiltration in Pancreatic Cancer.</w:t>
      </w:r>
      <w:r w:rsidR="007B7AB8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7B7AB8">
        <w:rPr>
          <w:rFonts w:cstheme="minorHAnsi"/>
          <w:b/>
          <w:bCs/>
          <w:sz w:val="24"/>
        </w:rPr>
        <w:t>D</w:t>
      </w:r>
      <w:r w:rsidRPr="00364FA2">
        <w:rPr>
          <w:rFonts w:cstheme="minorHAnsi"/>
          <w:sz w:val="24"/>
        </w:rPr>
        <w:t>) Enrichment plot for IL26 Signaling Pathway.</w:t>
      </w:r>
      <w:r w:rsidR="007B7AB8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7B7AB8">
        <w:rPr>
          <w:rFonts w:cstheme="minorHAnsi"/>
          <w:b/>
          <w:bCs/>
          <w:sz w:val="24"/>
        </w:rPr>
        <w:t>E</w:t>
      </w:r>
      <w:r w:rsidRPr="00364FA2">
        <w:rPr>
          <w:rFonts w:cstheme="minorHAnsi"/>
          <w:sz w:val="24"/>
        </w:rPr>
        <w:t>) Enrichment plot for Development and Heterogeneity of the ILC Family.</w:t>
      </w:r>
      <w:r w:rsidR="007B7AB8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These results show that the hypertension-associated ranked transcriptome in GSE75360 is enriched predominantly for immune- and inflammation-related signatures.</w:t>
      </w:r>
    </w:p>
    <w:p w14:paraId="14B7A74C" w14:textId="77777777" w:rsidR="009B7ACD" w:rsidRPr="00364FA2" w:rsidRDefault="00000000" w:rsidP="00364FA2">
      <w:pPr>
        <w:rPr>
          <w:rFonts w:cstheme="minorHAnsi"/>
          <w:sz w:val="24"/>
        </w:rPr>
      </w:pPr>
      <w:r w:rsidRPr="00364FA2">
        <w:rPr>
          <w:rFonts w:cstheme="minorHAnsi"/>
          <w:sz w:val="24"/>
        </w:rPr>
        <w:br w:type="page"/>
      </w:r>
    </w:p>
    <w:p w14:paraId="6499C408" w14:textId="77777777" w:rsidR="009B7ACD" w:rsidRPr="00364FA2" w:rsidRDefault="00000000" w:rsidP="00364FA2">
      <w:pPr>
        <w:rPr>
          <w:rFonts w:cstheme="minorHAnsi"/>
          <w:sz w:val="24"/>
        </w:rPr>
      </w:pPr>
      <w:r w:rsidRPr="00364FA2">
        <w:rPr>
          <w:rFonts w:cstheme="minorHAnsi"/>
          <w:noProof/>
          <w:sz w:val="24"/>
        </w:rPr>
        <w:drawing>
          <wp:inline distT="0" distB="0" distL="114300" distR="114300" wp14:anchorId="1E90565D" wp14:editId="224DE7EF">
            <wp:extent cx="5269865" cy="4505960"/>
            <wp:effectExtent l="0" t="0" r="635" b="2540"/>
            <wp:docPr id="10" name="图片 10" descr="figur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5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A4A95" w14:textId="4AA9C9A7" w:rsidR="009B7ACD" w:rsidRPr="007B7AB8" w:rsidRDefault="00000000" w:rsidP="00364FA2">
      <w:pPr>
        <w:rPr>
          <w:rFonts w:cstheme="minorHAnsi"/>
          <w:b/>
          <w:bCs/>
          <w:sz w:val="24"/>
        </w:rPr>
      </w:pPr>
      <w:r w:rsidRPr="007B7AB8">
        <w:rPr>
          <w:rFonts w:cstheme="minorHAnsi"/>
          <w:b/>
          <w:bCs/>
          <w:sz w:val="24"/>
        </w:rPr>
        <w:t>Supplementa</w:t>
      </w:r>
      <w:r w:rsidR="007B7AB8" w:rsidRPr="007B7AB8">
        <w:rPr>
          <w:rFonts w:cstheme="minorHAnsi"/>
          <w:b/>
          <w:bCs/>
          <w:sz w:val="24"/>
        </w:rPr>
        <w:t>l</w:t>
      </w:r>
      <w:r w:rsidRPr="007B7AB8">
        <w:rPr>
          <w:rFonts w:cstheme="minorHAnsi"/>
          <w:b/>
          <w:bCs/>
          <w:sz w:val="24"/>
        </w:rPr>
        <w:t xml:space="preserve"> Figure S5. Internal validation of the eight-gene hypertension diagnostic model in the discovery cohort (GSE75360)</w:t>
      </w:r>
      <w:r w:rsidR="007B7AB8" w:rsidRPr="007B7AB8">
        <w:rPr>
          <w:rFonts w:cstheme="minorHAnsi"/>
          <w:b/>
          <w:bCs/>
          <w:sz w:val="24"/>
        </w:rPr>
        <w:t>.</w:t>
      </w:r>
      <w:r w:rsidR="007B7AB8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7B7AB8">
        <w:rPr>
          <w:rFonts w:cstheme="minorHAnsi"/>
          <w:b/>
          <w:bCs/>
          <w:sz w:val="24"/>
        </w:rPr>
        <w:t>A</w:t>
      </w:r>
      <w:r w:rsidRPr="00364FA2">
        <w:rPr>
          <w:rFonts w:cstheme="minorHAnsi"/>
          <w:sz w:val="24"/>
        </w:rPr>
        <w:t>) ROC curve of the eight-gene logistic regression model in GSE75360.</w:t>
      </w:r>
      <w:r w:rsidR="007B7AB8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7B7AB8">
        <w:rPr>
          <w:rFonts w:cstheme="minorHAnsi"/>
          <w:b/>
          <w:bCs/>
          <w:sz w:val="24"/>
        </w:rPr>
        <w:t>B</w:t>
      </w:r>
      <w:r w:rsidRPr="00364FA2">
        <w:rPr>
          <w:rFonts w:cstheme="minorHAnsi"/>
          <w:sz w:val="24"/>
        </w:rPr>
        <w:t>) Calibration curve of the eight-gene model in GSE75360.</w:t>
      </w:r>
      <w:r w:rsidR="007B7AB8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7B7AB8">
        <w:rPr>
          <w:rFonts w:cstheme="minorHAnsi"/>
          <w:b/>
          <w:bCs/>
          <w:sz w:val="24"/>
        </w:rPr>
        <w:t>C</w:t>
      </w:r>
      <w:r w:rsidRPr="00364FA2">
        <w:rPr>
          <w:rFonts w:cstheme="minorHAnsi"/>
          <w:sz w:val="24"/>
        </w:rPr>
        <w:t>) Decision curve analysis of the eight-gene model in GSE75360.</w:t>
      </w:r>
      <w:r w:rsidR="007B7AB8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7B7AB8">
        <w:rPr>
          <w:rFonts w:cstheme="minorHAnsi"/>
          <w:b/>
          <w:bCs/>
          <w:sz w:val="24"/>
        </w:rPr>
        <w:t>D</w:t>
      </w:r>
      <w:r w:rsidRPr="00364FA2">
        <w:rPr>
          <w:rFonts w:cstheme="minorHAnsi"/>
          <w:sz w:val="24"/>
        </w:rPr>
        <w:t>) Nomogram of the eight-gene model in GSE75360.</w:t>
      </w:r>
      <w:r w:rsidR="007B7AB8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These analyses show that the candidate diagnostic model has strong discrimination in the discovery cohort and displays acceptable calibration and net benefit within this dataset.</w:t>
      </w:r>
      <w:r w:rsidRPr="00364FA2">
        <w:rPr>
          <w:rFonts w:cstheme="minorHAnsi"/>
          <w:sz w:val="24"/>
        </w:rPr>
        <w:br w:type="page"/>
      </w:r>
    </w:p>
    <w:p w14:paraId="53FBFDE9" w14:textId="77777777" w:rsidR="009B7ACD" w:rsidRPr="00364FA2" w:rsidRDefault="00000000" w:rsidP="00364FA2">
      <w:pPr>
        <w:rPr>
          <w:rFonts w:cstheme="minorHAnsi"/>
          <w:sz w:val="24"/>
        </w:rPr>
      </w:pPr>
      <w:r w:rsidRPr="00364FA2">
        <w:rPr>
          <w:rFonts w:cstheme="minorHAnsi"/>
          <w:noProof/>
          <w:sz w:val="24"/>
        </w:rPr>
        <w:drawing>
          <wp:inline distT="0" distB="0" distL="114300" distR="114300" wp14:anchorId="21C76D81" wp14:editId="7AC0B1BF">
            <wp:extent cx="5271770" cy="5017770"/>
            <wp:effectExtent l="0" t="0" r="11430" b="11430"/>
            <wp:docPr id="6" name="图片 6" descr="Supplementary Fil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le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01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93A49" w14:textId="6077EA92" w:rsidR="009B7ACD" w:rsidRPr="00416C5E" w:rsidRDefault="00000000" w:rsidP="00364FA2">
      <w:pPr>
        <w:rPr>
          <w:rFonts w:cstheme="minorHAnsi"/>
          <w:b/>
          <w:bCs/>
          <w:sz w:val="24"/>
        </w:rPr>
      </w:pPr>
      <w:r w:rsidRPr="00416C5E">
        <w:rPr>
          <w:rFonts w:cstheme="minorHAnsi"/>
          <w:b/>
          <w:bCs/>
          <w:sz w:val="24"/>
        </w:rPr>
        <w:t>Supplementa</w:t>
      </w:r>
      <w:r w:rsidR="00416C5E" w:rsidRPr="00416C5E">
        <w:rPr>
          <w:rFonts w:cstheme="minorHAnsi"/>
          <w:b/>
          <w:bCs/>
          <w:sz w:val="24"/>
        </w:rPr>
        <w:t>l</w:t>
      </w:r>
      <w:r w:rsidRPr="00416C5E">
        <w:rPr>
          <w:rFonts w:cstheme="minorHAnsi"/>
          <w:b/>
          <w:bCs/>
          <w:sz w:val="24"/>
        </w:rPr>
        <w:t xml:space="preserve"> Figure S6. Single-gene GSEA for AUTS2, CST3, CTSD, and FCER1G in GSE75360</w:t>
      </w:r>
      <w:r w:rsidR="00416C5E" w:rsidRPr="00416C5E">
        <w:rPr>
          <w:rFonts w:cstheme="minorHAnsi"/>
          <w:b/>
          <w:bCs/>
          <w:sz w:val="24"/>
        </w:rPr>
        <w:t xml:space="preserve">. </w:t>
      </w:r>
      <w:r w:rsidRPr="00364FA2">
        <w:rPr>
          <w:rFonts w:cstheme="minorHAnsi"/>
          <w:sz w:val="24"/>
        </w:rPr>
        <w:t xml:space="preserve">Single-gene GSEA results for </w:t>
      </w:r>
      <w:r w:rsidR="00416C5E">
        <w:rPr>
          <w:rFonts w:cstheme="minorHAnsi"/>
          <w:sz w:val="24"/>
        </w:rPr>
        <w:t>(</w:t>
      </w:r>
      <w:r w:rsidR="00416C5E" w:rsidRPr="00416C5E">
        <w:rPr>
          <w:rFonts w:cstheme="minorHAnsi"/>
          <w:b/>
          <w:bCs/>
          <w:sz w:val="24"/>
        </w:rPr>
        <w:t>A</w:t>
      </w:r>
      <w:r w:rsidR="00416C5E">
        <w:rPr>
          <w:rFonts w:cstheme="minorHAnsi"/>
          <w:sz w:val="24"/>
        </w:rPr>
        <w:t xml:space="preserve">) </w:t>
      </w:r>
      <w:r w:rsidRPr="00364FA2">
        <w:rPr>
          <w:rFonts w:cstheme="minorHAnsi"/>
          <w:sz w:val="24"/>
        </w:rPr>
        <w:t>AUTS2</w:t>
      </w:r>
      <w:r w:rsidR="00416C5E">
        <w:rPr>
          <w:rFonts w:cstheme="minorHAnsi"/>
          <w:sz w:val="24"/>
        </w:rPr>
        <w:t>, (</w:t>
      </w:r>
      <w:r w:rsidR="00416C5E" w:rsidRPr="00416C5E">
        <w:rPr>
          <w:rFonts w:cstheme="minorHAnsi"/>
          <w:b/>
          <w:bCs/>
          <w:sz w:val="24"/>
        </w:rPr>
        <w:t>B</w:t>
      </w:r>
      <w:r w:rsidR="00416C5E">
        <w:rPr>
          <w:rFonts w:cstheme="minorHAnsi"/>
          <w:sz w:val="24"/>
        </w:rPr>
        <w:t xml:space="preserve">) </w:t>
      </w:r>
      <w:r w:rsidRPr="00364FA2">
        <w:rPr>
          <w:rFonts w:cstheme="minorHAnsi"/>
          <w:sz w:val="24"/>
        </w:rPr>
        <w:t>CST3</w:t>
      </w:r>
      <w:r w:rsidR="00416C5E">
        <w:rPr>
          <w:rFonts w:cstheme="minorHAnsi"/>
          <w:sz w:val="24"/>
        </w:rPr>
        <w:t>, (</w:t>
      </w:r>
      <w:r w:rsidR="00416C5E" w:rsidRPr="00416C5E">
        <w:rPr>
          <w:rFonts w:cstheme="minorHAnsi"/>
          <w:b/>
          <w:bCs/>
          <w:sz w:val="24"/>
        </w:rPr>
        <w:t>C</w:t>
      </w:r>
      <w:r w:rsidR="00416C5E">
        <w:rPr>
          <w:rFonts w:cstheme="minorHAnsi"/>
          <w:sz w:val="24"/>
        </w:rPr>
        <w:t xml:space="preserve">) </w:t>
      </w:r>
      <w:r w:rsidRPr="00364FA2">
        <w:rPr>
          <w:rFonts w:cstheme="minorHAnsi"/>
          <w:sz w:val="24"/>
        </w:rPr>
        <w:t>CTSD</w:t>
      </w:r>
      <w:r w:rsidR="00416C5E">
        <w:rPr>
          <w:rFonts w:cstheme="minorHAnsi"/>
          <w:sz w:val="24"/>
        </w:rPr>
        <w:t>, (</w:t>
      </w:r>
      <w:r w:rsidR="00416C5E" w:rsidRPr="00416C5E">
        <w:rPr>
          <w:rFonts w:cstheme="minorHAnsi"/>
          <w:b/>
          <w:bCs/>
          <w:sz w:val="24"/>
        </w:rPr>
        <w:t>D</w:t>
      </w:r>
      <w:r w:rsidR="00416C5E">
        <w:rPr>
          <w:rFonts w:cstheme="minorHAnsi"/>
          <w:sz w:val="24"/>
        </w:rPr>
        <w:t xml:space="preserve">) </w:t>
      </w:r>
      <w:r w:rsidRPr="00364FA2">
        <w:rPr>
          <w:rFonts w:cstheme="minorHAnsi"/>
          <w:sz w:val="24"/>
        </w:rPr>
        <w:t>FCER1G.</w:t>
      </w:r>
      <w:r w:rsidR="00416C5E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For each key gene, samples were stratified into high- and low-expression groups, and GSEA was performed on the ranked gene list. These plots show that several of these genes are associated with recurrent immune- and inflammation-related signatures.</w:t>
      </w:r>
    </w:p>
    <w:p w14:paraId="12CDBA1F" w14:textId="77777777" w:rsidR="009B7ACD" w:rsidRPr="00364FA2" w:rsidRDefault="00000000" w:rsidP="00364FA2">
      <w:pPr>
        <w:rPr>
          <w:rFonts w:cstheme="minorHAnsi"/>
          <w:sz w:val="24"/>
        </w:rPr>
      </w:pPr>
      <w:r w:rsidRPr="00364FA2">
        <w:rPr>
          <w:rFonts w:cstheme="minorHAnsi"/>
          <w:sz w:val="24"/>
        </w:rPr>
        <w:br w:type="page"/>
      </w:r>
    </w:p>
    <w:p w14:paraId="7969E231" w14:textId="77777777" w:rsidR="009B7ACD" w:rsidRPr="00364FA2" w:rsidRDefault="00000000" w:rsidP="00364FA2">
      <w:pPr>
        <w:rPr>
          <w:rFonts w:cstheme="minorHAnsi"/>
          <w:sz w:val="24"/>
        </w:rPr>
      </w:pPr>
      <w:r w:rsidRPr="00364FA2">
        <w:rPr>
          <w:rFonts w:cstheme="minorHAnsi"/>
          <w:noProof/>
          <w:sz w:val="24"/>
        </w:rPr>
        <w:drawing>
          <wp:inline distT="0" distB="0" distL="114300" distR="114300" wp14:anchorId="4D6FDBF4" wp14:editId="57560B50">
            <wp:extent cx="5268595" cy="4827905"/>
            <wp:effectExtent l="0" t="0" r="1905" b="10795"/>
            <wp:docPr id="7" name="图片 7" descr="Supplementary Fil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lementary File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82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6980C" w14:textId="55F89E8A" w:rsidR="009B7ACD" w:rsidRPr="00416C5E" w:rsidRDefault="00000000" w:rsidP="00364FA2">
      <w:pPr>
        <w:rPr>
          <w:rFonts w:cstheme="minorHAnsi"/>
          <w:b/>
          <w:bCs/>
          <w:sz w:val="24"/>
        </w:rPr>
      </w:pPr>
      <w:r w:rsidRPr="00416C5E">
        <w:rPr>
          <w:rFonts w:cstheme="minorHAnsi"/>
          <w:b/>
          <w:bCs/>
          <w:sz w:val="24"/>
        </w:rPr>
        <w:t>Supplementa</w:t>
      </w:r>
      <w:r w:rsidR="00416C5E" w:rsidRPr="00416C5E">
        <w:rPr>
          <w:rFonts w:cstheme="minorHAnsi"/>
          <w:b/>
          <w:bCs/>
          <w:sz w:val="24"/>
        </w:rPr>
        <w:t>l</w:t>
      </w:r>
      <w:r w:rsidRPr="00416C5E">
        <w:rPr>
          <w:rFonts w:cstheme="minorHAnsi"/>
          <w:b/>
          <w:bCs/>
          <w:sz w:val="24"/>
        </w:rPr>
        <w:t xml:space="preserve"> Figure S7. Single-gene GSEA for FURIN, LRP1, MTHFR, and TBXAS1 in GSE75360</w:t>
      </w:r>
      <w:r w:rsidR="00416C5E" w:rsidRPr="00416C5E">
        <w:rPr>
          <w:rFonts w:cstheme="minorHAnsi"/>
          <w:b/>
          <w:bCs/>
          <w:sz w:val="24"/>
        </w:rPr>
        <w:t xml:space="preserve">. </w:t>
      </w:r>
      <w:r w:rsidRPr="00364FA2">
        <w:rPr>
          <w:rFonts w:cstheme="minorHAnsi"/>
          <w:sz w:val="24"/>
        </w:rPr>
        <w:t xml:space="preserve">Single-gene GSEA results for </w:t>
      </w:r>
      <w:r w:rsidR="00416C5E">
        <w:rPr>
          <w:rFonts w:cstheme="minorHAnsi"/>
          <w:sz w:val="24"/>
        </w:rPr>
        <w:t>(</w:t>
      </w:r>
      <w:r w:rsidR="00416C5E" w:rsidRPr="00416C5E">
        <w:rPr>
          <w:rFonts w:cstheme="minorHAnsi"/>
          <w:b/>
          <w:bCs/>
          <w:sz w:val="24"/>
        </w:rPr>
        <w:t>A</w:t>
      </w:r>
      <w:r w:rsidR="00416C5E">
        <w:rPr>
          <w:rFonts w:cstheme="minorHAnsi"/>
          <w:sz w:val="24"/>
        </w:rPr>
        <w:t xml:space="preserve">) </w:t>
      </w:r>
      <w:r w:rsidRPr="00364FA2">
        <w:rPr>
          <w:rFonts w:cstheme="minorHAnsi"/>
          <w:sz w:val="24"/>
        </w:rPr>
        <w:t>FURIN</w:t>
      </w:r>
      <w:r w:rsidR="00416C5E">
        <w:rPr>
          <w:rFonts w:cstheme="minorHAnsi"/>
          <w:sz w:val="24"/>
        </w:rPr>
        <w:t>, (</w:t>
      </w:r>
      <w:r w:rsidR="00416C5E" w:rsidRPr="00416C5E">
        <w:rPr>
          <w:rFonts w:cstheme="minorHAnsi"/>
          <w:b/>
          <w:bCs/>
          <w:sz w:val="24"/>
        </w:rPr>
        <w:t>B</w:t>
      </w:r>
      <w:r w:rsidR="00416C5E">
        <w:rPr>
          <w:rFonts w:cstheme="minorHAnsi"/>
          <w:sz w:val="24"/>
        </w:rPr>
        <w:t xml:space="preserve">) </w:t>
      </w:r>
      <w:r w:rsidRPr="00364FA2">
        <w:rPr>
          <w:rFonts w:cstheme="minorHAnsi"/>
          <w:sz w:val="24"/>
        </w:rPr>
        <w:t>LRP1</w:t>
      </w:r>
      <w:r w:rsidR="00416C5E">
        <w:rPr>
          <w:rFonts w:cstheme="minorHAnsi"/>
          <w:sz w:val="24"/>
        </w:rPr>
        <w:t>, (</w:t>
      </w:r>
      <w:r w:rsidR="00416C5E" w:rsidRPr="00416C5E">
        <w:rPr>
          <w:rFonts w:cstheme="minorHAnsi"/>
          <w:b/>
          <w:bCs/>
          <w:sz w:val="24"/>
        </w:rPr>
        <w:t>C</w:t>
      </w:r>
      <w:r w:rsidR="00416C5E">
        <w:rPr>
          <w:rFonts w:cstheme="minorHAnsi"/>
          <w:sz w:val="24"/>
        </w:rPr>
        <w:t xml:space="preserve">) </w:t>
      </w:r>
      <w:r w:rsidRPr="00364FA2">
        <w:rPr>
          <w:rFonts w:cstheme="minorHAnsi"/>
          <w:sz w:val="24"/>
        </w:rPr>
        <w:t>MTHFR</w:t>
      </w:r>
      <w:r w:rsidR="00416C5E">
        <w:rPr>
          <w:rFonts w:cstheme="minorHAnsi"/>
          <w:sz w:val="24"/>
        </w:rPr>
        <w:t>, (</w:t>
      </w:r>
      <w:r w:rsidR="00416C5E" w:rsidRPr="00416C5E">
        <w:rPr>
          <w:rFonts w:cstheme="minorHAnsi"/>
          <w:b/>
          <w:bCs/>
          <w:sz w:val="24"/>
        </w:rPr>
        <w:t>D</w:t>
      </w:r>
      <w:r w:rsidR="00416C5E">
        <w:rPr>
          <w:rFonts w:cstheme="minorHAnsi"/>
          <w:sz w:val="24"/>
        </w:rPr>
        <w:t xml:space="preserve">) </w:t>
      </w:r>
      <w:r w:rsidRPr="00364FA2">
        <w:rPr>
          <w:rFonts w:cstheme="minorHAnsi"/>
          <w:sz w:val="24"/>
        </w:rPr>
        <w:t>TBXAS1.</w:t>
      </w:r>
      <w:r w:rsidR="00416C5E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For each key gene, samples were stratified into high- and low-expression groups, and GSEA was performed on the ranked gene list. These plots further support that the key genes are linked primarily to immune- and inflammation-associated pathway activity.</w:t>
      </w:r>
    </w:p>
    <w:p w14:paraId="1573CB3F" w14:textId="77777777" w:rsidR="009B7ACD" w:rsidRPr="00364FA2" w:rsidRDefault="00000000" w:rsidP="00364FA2">
      <w:pPr>
        <w:rPr>
          <w:rFonts w:cstheme="minorHAnsi"/>
          <w:sz w:val="24"/>
        </w:rPr>
      </w:pPr>
      <w:r w:rsidRPr="00364FA2">
        <w:rPr>
          <w:rFonts w:cstheme="minorHAnsi"/>
          <w:sz w:val="24"/>
        </w:rPr>
        <w:br w:type="page"/>
      </w:r>
    </w:p>
    <w:p w14:paraId="1648DCEC" w14:textId="77777777" w:rsidR="009B7ACD" w:rsidRPr="00364FA2" w:rsidRDefault="00000000" w:rsidP="00364FA2">
      <w:pPr>
        <w:rPr>
          <w:rFonts w:cstheme="minorHAnsi"/>
          <w:sz w:val="24"/>
        </w:rPr>
      </w:pPr>
      <w:r w:rsidRPr="00364FA2">
        <w:rPr>
          <w:rFonts w:cstheme="minorHAnsi"/>
          <w:noProof/>
          <w:sz w:val="24"/>
        </w:rPr>
        <w:drawing>
          <wp:inline distT="0" distB="0" distL="114300" distR="114300" wp14:anchorId="1AFCD694" wp14:editId="70C0AF6C">
            <wp:extent cx="5271770" cy="3148330"/>
            <wp:effectExtent l="0" t="0" r="11430" b="1270"/>
            <wp:docPr id="8" name="图片 8" descr="Supplementary Fil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ary File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53F0B" w14:textId="276112CB" w:rsidR="009B7ACD" w:rsidRPr="000C4F03" w:rsidRDefault="00000000" w:rsidP="00364FA2">
      <w:pPr>
        <w:rPr>
          <w:rFonts w:cstheme="minorHAnsi"/>
          <w:b/>
          <w:bCs/>
          <w:sz w:val="24"/>
        </w:rPr>
      </w:pPr>
      <w:r w:rsidRPr="000C4F03">
        <w:rPr>
          <w:rFonts w:cstheme="minorHAnsi"/>
          <w:b/>
          <w:bCs/>
          <w:sz w:val="24"/>
        </w:rPr>
        <w:t>Supplementa</w:t>
      </w:r>
      <w:r w:rsidR="000C4F03" w:rsidRPr="000C4F03">
        <w:rPr>
          <w:rFonts w:cstheme="minorHAnsi"/>
          <w:b/>
          <w:bCs/>
          <w:sz w:val="24"/>
        </w:rPr>
        <w:t xml:space="preserve">l </w:t>
      </w:r>
      <w:r w:rsidRPr="000C4F03">
        <w:rPr>
          <w:rFonts w:cstheme="minorHAnsi"/>
          <w:b/>
          <w:bCs/>
          <w:sz w:val="24"/>
        </w:rPr>
        <w:t>Figure S8. PPI and functional association networks of hub genes</w:t>
      </w:r>
      <w:r w:rsidR="000C4F03" w:rsidRPr="000C4F03">
        <w:rPr>
          <w:rFonts w:cstheme="minorHAnsi"/>
          <w:b/>
          <w:bCs/>
          <w:sz w:val="24"/>
        </w:rPr>
        <w:t>.</w:t>
      </w:r>
      <w:r w:rsidR="000C4F03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0C4F03">
        <w:rPr>
          <w:rFonts w:cstheme="minorHAnsi"/>
          <w:b/>
          <w:bCs/>
          <w:sz w:val="24"/>
        </w:rPr>
        <w:t>A</w:t>
      </w:r>
      <w:r w:rsidRPr="00364FA2">
        <w:rPr>
          <w:rFonts w:cstheme="minorHAnsi"/>
          <w:sz w:val="24"/>
        </w:rPr>
        <w:t xml:space="preserve">) STRING protein-protein interaction (PPI) network of </w:t>
      </w:r>
      <w:proofErr w:type="gramStart"/>
      <w:r w:rsidRPr="00364FA2">
        <w:rPr>
          <w:rFonts w:cstheme="minorHAnsi"/>
          <w:sz w:val="24"/>
        </w:rPr>
        <w:t>the hub</w:t>
      </w:r>
      <w:proofErr w:type="gramEnd"/>
      <w:r w:rsidRPr="00364FA2">
        <w:rPr>
          <w:rFonts w:cstheme="minorHAnsi"/>
          <w:sz w:val="24"/>
        </w:rPr>
        <w:t xml:space="preserve"> genes.</w:t>
      </w:r>
      <w:r w:rsidR="000C4F03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(</w:t>
      </w:r>
      <w:r w:rsidRPr="000C4F03">
        <w:rPr>
          <w:rFonts w:cstheme="minorHAnsi"/>
          <w:b/>
          <w:bCs/>
          <w:sz w:val="24"/>
        </w:rPr>
        <w:t>B</w:t>
      </w:r>
      <w:r w:rsidRPr="00364FA2">
        <w:rPr>
          <w:rFonts w:cstheme="minorHAnsi"/>
          <w:sz w:val="24"/>
        </w:rPr>
        <w:t xml:space="preserve">) </w:t>
      </w:r>
      <w:proofErr w:type="spellStart"/>
      <w:r w:rsidRPr="00364FA2">
        <w:rPr>
          <w:rFonts w:cstheme="minorHAnsi"/>
          <w:sz w:val="24"/>
        </w:rPr>
        <w:t>GeneMANIA</w:t>
      </w:r>
      <w:proofErr w:type="spellEnd"/>
      <w:r w:rsidRPr="00364FA2">
        <w:rPr>
          <w:rFonts w:cstheme="minorHAnsi"/>
          <w:sz w:val="24"/>
        </w:rPr>
        <w:t xml:space="preserve"> functional association network of </w:t>
      </w:r>
      <w:proofErr w:type="gramStart"/>
      <w:r w:rsidRPr="00364FA2">
        <w:rPr>
          <w:rFonts w:cstheme="minorHAnsi"/>
          <w:sz w:val="24"/>
        </w:rPr>
        <w:t>the hub</w:t>
      </w:r>
      <w:proofErr w:type="gramEnd"/>
      <w:r w:rsidRPr="00364FA2">
        <w:rPr>
          <w:rFonts w:cstheme="minorHAnsi"/>
          <w:sz w:val="24"/>
        </w:rPr>
        <w:t xml:space="preserve"> genes and related genes.</w:t>
      </w:r>
      <w:r w:rsidR="000C4F03">
        <w:rPr>
          <w:rFonts w:cstheme="minorHAnsi"/>
          <w:b/>
          <w:bCs/>
          <w:sz w:val="24"/>
        </w:rPr>
        <w:t xml:space="preserve"> </w:t>
      </w:r>
      <w:r w:rsidRPr="00364FA2">
        <w:rPr>
          <w:rFonts w:cstheme="minorHAnsi"/>
          <w:sz w:val="24"/>
        </w:rPr>
        <w:t>These analyses indicate that seven hub genes are connected within a broader functional interaction network, supporting their potential biological relatedness.</w:t>
      </w:r>
    </w:p>
    <w:sectPr w:rsidR="009B7ACD" w:rsidRPr="000C4F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embedSystemFonts/>
  <w:proofState w:spelling="clean" w:grammar="clean"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ACD"/>
    <w:rsid w:val="000C4F03"/>
    <w:rsid w:val="00364FA2"/>
    <w:rsid w:val="00416C5E"/>
    <w:rsid w:val="007B7AB8"/>
    <w:rsid w:val="009B7ACD"/>
    <w:rsid w:val="00E94815"/>
    <w:rsid w:val="0AFD63A7"/>
    <w:rsid w:val="18D840F7"/>
    <w:rsid w:val="3A5363E7"/>
    <w:rsid w:val="6B6C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AACDCC"/>
  <w15:docId w15:val="{8496DCDC-B002-4B5E-84B9-F6CD16B7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paragraph" w:styleId="Heading2">
    <w:name w:val="heading 2"/>
    <w:basedOn w:val="Normal"/>
    <w:next w:val="Normal"/>
    <w:semiHidden/>
    <w:unhideWhenUsed/>
    <w:qFormat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Strong">
    <w:name w:val="Strong"/>
    <w:basedOn w:val="DefaultParagraphFont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627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suyue</dc:creator>
  <cp:lastModifiedBy>Vidhya Iyer</cp:lastModifiedBy>
  <cp:revision>6</cp:revision>
  <dcterms:created xsi:type="dcterms:W3CDTF">2026-04-22T01:56:00Z</dcterms:created>
  <dcterms:modified xsi:type="dcterms:W3CDTF">2026-05-27T15:52:00Z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eyJoZGlkIjoiN2NjYWI3OTc2ZTU2NWY0ZmJiYjJlYTNkYmY0MmVmNGEiLCJ1c2VySWQiOiIxNzk0MDI5NjI2In0=</vt:lpwstr>
  </property>
  <property fmtid="{D5CDD505-2E9C-101B-9397-08002B2CF9AE}" pid="4" name="ICV">
    <vt:lpwstr>4CC5AD37C76747C99546EC0BC64A03BA_12</vt:lpwstr>
  </property>
  <property fmtid="{D5CDD505-2E9C-101B-9397-08002B2CF9AE}" pid="5" name="GrammarlyDocumentId">
    <vt:lpwstr>e1a40b0b-8881-4e8d-b557-505a580aca0f</vt:lpwstr>
  </property>
</Properties>
</file>