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657D99" w14:textId="77777777" w:rsidR="00FD373B" w:rsidRPr="007862B0" w:rsidRDefault="00FD373B">
      <w:pPr>
        <w:rPr>
          <w:rFonts w:asciiTheme="minorHAnsi" w:hAnsiTheme="minorHAnsi" w:cstheme="minorHAnsi"/>
          <w:b/>
        </w:rPr>
      </w:pPr>
    </w:p>
    <w:p w14:paraId="1D903299" w14:textId="77777777" w:rsidR="00FD373B" w:rsidRPr="007862B0" w:rsidRDefault="003B475C">
      <w:pPr>
        <w:rPr>
          <w:rFonts w:asciiTheme="minorHAnsi" w:hAnsiTheme="minorHAnsi" w:cstheme="minorHAnsi"/>
          <w:b/>
        </w:rPr>
      </w:pPr>
      <w:r w:rsidRPr="007862B0">
        <w:rPr>
          <w:rFonts w:asciiTheme="minorHAnsi" w:hAnsiTheme="minorHAnsi" w:cstheme="minorHAnsi"/>
          <w:b/>
          <w:noProof/>
          <w:lang w:val="fr-FR" w:eastAsia="fr-FR"/>
        </w:rPr>
        <w:drawing>
          <wp:inline distT="0" distB="0" distL="0" distR="0" wp14:anchorId="1D365BCD" wp14:editId="6F54FCA3">
            <wp:extent cx="5760720" cy="3240405"/>
            <wp:effectExtent l="0" t="0" r="0" b="0"/>
            <wp:docPr id="24" name="Imag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5760720" cy="3240405"/>
                    </a:xfrm>
                    <a:prstGeom prst="rect">
                      <a:avLst/>
                    </a:prstGeom>
                  </pic:spPr>
                </pic:pic>
              </a:graphicData>
            </a:graphic>
          </wp:inline>
        </w:drawing>
      </w:r>
    </w:p>
    <w:p w14:paraId="3FF1CD28" w14:textId="77777777" w:rsidR="00FD373B" w:rsidRPr="007862B0" w:rsidRDefault="00FD373B">
      <w:pPr>
        <w:rPr>
          <w:rFonts w:asciiTheme="minorHAnsi" w:hAnsiTheme="minorHAnsi" w:cstheme="minorHAnsi"/>
          <w:b/>
        </w:rPr>
      </w:pPr>
    </w:p>
    <w:p w14:paraId="6A3FB091" w14:textId="51D5B63E" w:rsidR="00FD373B" w:rsidRPr="007862B0" w:rsidRDefault="007862B0">
      <w:pPr>
        <w:rPr>
          <w:rFonts w:asciiTheme="minorHAnsi" w:hAnsiTheme="minorHAnsi" w:cstheme="minorHAnsi"/>
          <w:b/>
        </w:rPr>
      </w:pPr>
      <w:r w:rsidRPr="007862B0">
        <w:rPr>
          <w:rFonts w:asciiTheme="minorHAnsi" w:hAnsiTheme="minorHAnsi" w:cstheme="minorHAnsi"/>
          <w:b/>
        </w:rPr>
        <w:t xml:space="preserve">Supplemental Figure S1: </w:t>
      </w:r>
      <w:r w:rsidRPr="007862B0">
        <w:rPr>
          <w:rStyle w:val="Strong"/>
          <w:rFonts w:asciiTheme="minorHAnsi" w:hAnsiTheme="minorHAnsi" w:cstheme="minorHAnsi"/>
        </w:rPr>
        <w:t>CD34</w:t>
      </w:r>
      <w:r w:rsidRPr="007862B0">
        <w:rPr>
          <w:rStyle w:val="Strong"/>
          <w:rFonts w:asciiTheme="minorHAnsi" w:hAnsiTheme="minorHAnsi" w:cstheme="minorHAnsi"/>
          <w:vertAlign w:val="superscript"/>
        </w:rPr>
        <w:t>+</w:t>
      </w:r>
      <w:r w:rsidRPr="007862B0">
        <w:rPr>
          <w:rStyle w:val="Strong"/>
          <w:rFonts w:asciiTheme="minorHAnsi" w:hAnsiTheme="minorHAnsi" w:cstheme="minorHAnsi"/>
        </w:rPr>
        <w:t>CD38</w:t>
      </w:r>
      <w:r w:rsidRPr="007862B0">
        <w:rPr>
          <w:rStyle w:val="Strong"/>
          <w:rFonts w:asciiTheme="minorHAnsi" w:hAnsiTheme="minorHAnsi" w:cstheme="minorHAnsi"/>
          <w:vertAlign w:val="superscript"/>
        </w:rPr>
        <w:t>−</w:t>
      </w:r>
      <w:r w:rsidRPr="007862B0">
        <w:rPr>
          <w:rStyle w:val="Strong"/>
          <w:rFonts w:asciiTheme="minorHAnsi" w:hAnsiTheme="minorHAnsi" w:cstheme="minorHAnsi"/>
        </w:rPr>
        <w:t xml:space="preserve"> LSC-enriched populations in AML.</w:t>
      </w:r>
      <w:r w:rsidRPr="007862B0">
        <w:rPr>
          <w:rFonts w:asciiTheme="minorHAnsi" w:hAnsiTheme="minorHAnsi" w:cstheme="minorHAnsi"/>
        </w:rPr>
        <w:t xml:space="preserve"> (</w:t>
      </w:r>
      <w:r w:rsidRPr="007862B0">
        <w:rPr>
          <w:rFonts w:asciiTheme="minorHAnsi" w:hAnsiTheme="minorHAnsi" w:cstheme="minorHAnsi"/>
          <w:b/>
          <w:bCs/>
        </w:rPr>
        <w:t>A</w:t>
      </w:r>
      <w:r w:rsidRPr="007862B0">
        <w:rPr>
          <w:rFonts w:asciiTheme="minorHAnsi" w:hAnsiTheme="minorHAnsi" w:cstheme="minorHAnsi"/>
        </w:rPr>
        <w:t>) Identification of normal hematopoietic stem cells (</w:t>
      </w:r>
      <w:proofErr w:type="spellStart"/>
      <w:r w:rsidRPr="007862B0">
        <w:rPr>
          <w:rFonts w:asciiTheme="minorHAnsi" w:hAnsiTheme="minorHAnsi" w:cstheme="minorHAnsi"/>
        </w:rPr>
        <w:t>nHSCs</w:t>
      </w:r>
      <w:proofErr w:type="spellEnd"/>
      <w:r w:rsidRPr="007862B0">
        <w:rPr>
          <w:rFonts w:asciiTheme="minorHAnsi" w:hAnsiTheme="minorHAnsi" w:cstheme="minorHAnsi"/>
        </w:rPr>
        <w:t>) in healthy bone marrow and LSC-enriched cells in AML samples within the CD34</w:t>
      </w:r>
      <w:r w:rsidRPr="004B3163">
        <w:rPr>
          <w:rFonts w:asciiTheme="minorHAnsi" w:hAnsiTheme="minorHAnsi" w:cstheme="minorHAnsi"/>
          <w:vertAlign w:val="superscript"/>
        </w:rPr>
        <w:t>+</w:t>
      </w:r>
      <w:r w:rsidRPr="007862B0">
        <w:rPr>
          <w:rFonts w:asciiTheme="minorHAnsi" w:hAnsiTheme="minorHAnsi" w:cstheme="minorHAnsi"/>
        </w:rPr>
        <w:t>CD38</w:t>
      </w:r>
      <w:r w:rsidRPr="004B3163">
        <w:rPr>
          <w:rFonts w:asciiTheme="minorHAnsi" w:hAnsiTheme="minorHAnsi" w:cstheme="minorHAnsi"/>
          <w:vertAlign w:val="superscript"/>
        </w:rPr>
        <w:t>−</w:t>
      </w:r>
      <w:r w:rsidRPr="007862B0">
        <w:rPr>
          <w:rFonts w:asciiTheme="minorHAnsi" w:hAnsiTheme="minorHAnsi" w:cstheme="minorHAnsi"/>
        </w:rPr>
        <w:t xml:space="preserve"> space. (</w:t>
      </w:r>
      <w:r w:rsidRPr="007862B0">
        <w:rPr>
          <w:rFonts w:asciiTheme="minorHAnsi" w:hAnsiTheme="minorHAnsi" w:cstheme="minorHAnsi"/>
          <w:b/>
          <w:bCs/>
        </w:rPr>
        <w:t>B</w:t>
      </w:r>
      <w:r w:rsidRPr="007862B0">
        <w:rPr>
          <w:rFonts w:asciiTheme="minorHAnsi" w:hAnsiTheme="minorHAnsi" w:cstheme="minorHAnsi"/>
        </w:rPr>
        <w:t>) Quantification of LSC-enriched cells at diagnosis based on dichotomic LSC marker expression, shown as CLL1</w:t>
      </w:r>
      <w:r w:rsidRPr="004B3163">
        <w:rPr>
          <w:rFonts w:asciiTheme="minorHAnsi" w:hAnsiTheme="minorHAnsi" w:cstheme="minorHAnsi"/>
          <w:vertAlign w:val="superscript"/>
        </w:rPr>
        <w:t>+</w:t>
      </w:r>
      <w:r w:rsidRPr="007862B0">
        <w:rPr>
          <w:rFonts w:asciiTheme="minorHAnsi" w:hAnsiTheme="minorHAnsi" w:cstheme="minorHAnsi"/>
        </w:rPr>
        <w:t xml:space="preserve"> LSC-enriched cells (orange) and CLL1</w:t>
      </w:r>
      <w:r w:rsidRPr="004B3163">
        <w:rPr>
          <w:rFonts w:asciiTheme="minorHAnsi" w:hAnsiTheme="minorHAnsi" w:cstheme="minorHAnsi"/>
          <w:vertAlign w:val="superscript"/>
        </w:rPr>
        <w:t>−</w:t>
      </w:r>
      <w:r w:rsidRPr="007862B0">
        <w:rPr>
          <w:rFonts w:asciiTheme="minorHAnsi" w:hAnsiTheme="minorHAnsi" w:cstheme="minorHAnsi"/>
        </w:rPr>
        <w:t xml:space="preserve"> </w:t>
      </w:r>
      <w:proofErr w:type="spellStart"/>
      <w:r w:rsidRPr="007862B0">
        <w:rPr>
          <w:rFonts w:asciiTheme="minorHAnsi" w:hAnsiTheme="minorHAnsi" w:cstheme="minorHAnsi"/>
        </w:rPr>
        <w:t>nHSCs</w:t>
      </w:r>
      <w:proofErr w:type="spellEnd"/>
      <w:r w:rsidRPr="007862B0">
        <w:rPr>
          <w:rFonts w:asciiTheme="minorHAnsi" w:hAnsiTheme="minorHAnsi" w:cstheme="minorHAnsi"/>
        </w:rPr>
        <w:t xml:space="preserve"> (purple), followed by monitoring at MRD time points. (</w:t>
      </w:r>
      <w:r w:rsidRPr="004B3163">
        <w:rPr>
          <w:rFonts w:asciiTheme="minorHAnsi" w:hAnsiTheme="minorHAnsi" w:cstheme="minorHAnsi"/>
          <w:b/>
          <w:bCs/>
        </w:rPr>
        <w:t>C</w:t>
      </w:r>
      <w:r w:rsidRPr="007862B0">
        <w:rPr>
          <w:rFonts w:asciiTheme="minorHAnsi" w:hAnsiTheme="minorHAnsi" w:cstheme="minorHAnsi"/>
        </w:rPr>
        <w:t xml:space="preserve">) Additional LSC-associated functional markers.    </w:t>
      </w:r>
      <w:r w:rsidR="00FD373B" w:rsidRPr="007862B0">
        <w:rPr>
          <w:rFonts w:asciiTheme="minorHAnsi" w:hAnsiTheme="minorHAnsi" w:cstheme="minorHAnsi"/>
          <w:b/>
        </w:rPr>
        <w:br w:type="page"/>
      </w:r>
    </w:p>
    <w:p w14:paraId="2865AD47" w14:textId="77777777" w:rsidR="00FD373B" w:rsidRPr="007862B0" w:rsidRDefault="00FD373B">
      <w:pPr>
        <w:rPr>
          <w:rFonts w:asciiTheme="minorHAnsi" w:hAnsiTheme="minorHAnsi" w:cstheme="minorHAnsi"/>
          <w:b/>
        </w:rPr>
      </w:pPr>
    </w:p>
    <w:p w14:paraId="5FB54745" w14:textId="3B68966E" w:rsidR="00FD373B" w:rsidRPr="007862B0" w:rsidRDefault="00FD373B">
      <w:pPr>
        <w:rPr>
          <w:rFonts w:asciiTheme="minorHAnsi" w:hAnsiTheme="minorHAnsi" w:cstheme="minorHAnsi"/>
          <w:b/>
        </w:rPr>
      </w:pPr>
    </w:p>
    <w:p w14:paraId="487C1109" w14:textId="18A015D4" w:rsidR="00A03BDD" w:rsidRPr="007862B0" w:rsidRDefault="008D230F">
      <w:pPr>
        <w:rPr>
          <w:rFonts w:asciiTheme="minorHAnsi" w:hAnsiTheme="minorHAnsi" w:cstheme="minorHAnsi"/>
          <w:b/>
        </w:rPr>
      </w:pPr>
      <w:r>
        <w:rPr>
          <w:rFonts w:asciiTheme="minorHAnsi" w:hAnsiTheme="minorHAnsi" w:cstheme="minorHAnsi"/>
          <w:b/>
          <w:noProof/>
        </w:rPr>
        <w:drawing>
          <wp:inline distT="0" distB="0" distL="0" distR="0" wp14:anchorId="6C94C11D" wp14:editId="1C5B051D">
            <wp:extent cx="4604328" cy="5058562"/>
            <wp:effectExtent l="0" t="0" r="6350" b="8890"/>
            <wp:docPr id="106128756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682550" cy="5144501"/>
                    </a:xfrm>
                    <a:prstGeom prst="rect">
                      <a:avLst/>
                    </a:prstGeom>
                    <a:noFill/>
                    <a:ln>
                      <a:noFill/>
                    </a:ln>
                  </pic:spPr>
                </pic:pic>
              </a:graphicData>
            </a:graphic>
          </wp:inline>
        </w:drawing>
      </w:r>
    </w:p>
    <w:p w14:paraId="5AA6607B" w14:textId="68384E05" w:rsidR="00A03BDD" w:rsidRPr="007862B0" w:rsidRDefault="00A03BDD">
      <w:pPr>
        <w:rPr>
          <w:rFonts w:asciiTheme="minorHAnsi" w:hAnsiTheme="minorHAnsi" w:cstheme="minorHAnsi"/>
          <w:b/>
        </w:rPr>
      </w:pPr>
    </w:p>
    <w:p w14:paraId="5D348D56" w14:textId="55B1AD87" w:rsidR="00B26184" w:rsidRPr="007862B0" w:rsidRDefault="002134E4" w:rsidP="008D230F">
      <w:pPr>
        <w:rPr>
          <w:rFonts w:asciiTheme="minorHAnsi" w:hAnsiTheme="minorHAnsi" w:cstheme="minorHAnsi"/>
          <w:b/>
        </w:rPr>
      </w:pPr>
      <w:r>
        <w:rPr>
          <w:rStyle w:val="Strong"/>
        </w:rPr>
        <w:t xml:space="preserve">Supplemental Figure S2: Genotype- and phenotype-associated heterogeneity of </w:t>
      </w:r>
      <w:proofErr w:type="gramStart"/>
      <w:r>
        <w:rPr>
          <w:rStyle w:val="Strong"/>
        </w:rPr>
        <w:t>relapse</w:t>
      </w:r>
      <w:proofErr w:type="gramEnd"/>
      <w:r>
        <w:rPr>
          <w:rStyle w:val="Strong"/>
        </w:rPr>
        <w:t xml:space="preserve"> and leukemic hierarchy in AML.</w:t>
      </w:r>
      <w:r>
        <w:t xml:space="preserve"> (</w:t>
      </w:r>
      <w:r w:rsidRPr="002134E4">
        <w:rPr>
          <w:b/>
          <w:bCs/>
        </w:rPr>
        <w:t>A</w:t>
      </w:r>
      <w:r>
        <w:t xml:space="preserve">) Dynamics of </w:t>
      </w:r>
      <w:proofErr w:type="gramStart"/>
      <w:r>
        <w:t>relapse</w:t>
      </w:r>
      <w:proofErr w:type="gramEnd"/>
      <w:r>
        <w:t xml:space="preserve"> based on the combined LAIP/</w:t>
      </w:r>
      <w:proofErr w:type="spellStart"/>
      <w:r>
        <w:t>DfN</w:t>
      </w:r>
      <w:proofErr w:type="spellEnd"/>
      <w:r>
        <w:t xml:space="preserve"> and LSC approaches. Representative examples show immunophenotypic fractions and LSC dynamics between diagnosis and relapse in three patients with different </w:t>
      </w:r>
      <w:proofErr w:type="gramStart"/>
      <w:r>
        <w:t>genotype</w:t>
      </w:r>
      <w:proofErr w:type="gramEnd"/>
      <w:r>
        <w:t xml:space="preserve"> and phenotype heterogeneity. In the first patient, relapse shows an identical phenotype arising from committed progenitors (AML “</w:t>
      </w:r>
      <w:proofErr w:type="spellStart"/>
      <w:r>
        <w:t>LSC</w:t>
      </w:r>
      <w:r w:rsidRPr="002134E4">
        <w:rPr>
          <w:vertAlign w:val="superscript"/>
        </w:rPr>
        <w:t>low</w:t>
      </w:r>
      <w:proofErr w:type="spellEnd"/>
      <w:r>
        <w:t>”). In the second patient, relapse shows a phenotype arising from a small selected subclone from more primitive cells (LSC) (AML “</w:t>
      </w:r>
      <w:proofErr w:type="spellStart"/>
      <w:r>
        <w:t>LSC</w:t>
      </w:r>
      <w:r w:rsidRPr="002134E4">
        <w:rPr>
          <w:vertAlign w:val="superscript"/>
        </w:rPr>
        <w:t>low</w:t>
      </w:r>
      <w:proofErr w:type="spellEnd"/>
      <w:r>
        <w:t xml:space="preserve">”). In the third patient, relapse shows enrichment of a phenotype arising from initially more primitive cells (LSC), </w:t>
      </w:r>
      <w:proofErr w:type="gramStart"/>
      <w:r>
        <w:t>similar to</w:t>
      </w:r>
      <w:proofErr w:type="gramEnd"/>
      <w:r>
        <w:t xml:space="preserve"> that observed at diagnosis (AML “</w:t>
      </w:r>
      <w:proofErr w:type="spellStart"/>
      <w:r>
        <w:t>LSC</w:t>
      </w:r>
      <w:r w:rsidRPr="002134E4">
        <w:rPr>
          <w:vertAlign w:val="superscript"/>
        </w:rPr>
        <w:t>high</w:t>
      </w:r>
      <w:proofErr w:type="spellEnd"/>
      <w:r>
        <w:t>”).</w:t>
      </w:r>
      <w:r>
        <w:br/>
        <w:t>(</w:t>
      </w:r>
      <w:r w:rsidRPr="002134E4">
        <w:rPr>
          <w:b/>
          <w:bCs/>
        </w:rPr>
        <w:t>B</w:t>
      </w:r>
      <w:r>
        <w:t>) Heterogeneity of LAIP and LSC patterns at diagnosis. Representative examples in the CD34/CD38 space show bulk blast patterns from different patients at diagnosis compared with normal healthy bone marrow. From more differentiated to more immature patterns: the first plot shows a patient with isolated NPM1</w:t>
      </w:r>
      <w:r w:rsidRPr="002134E4">
        <w:rPr>
          <w:vertAlign w:val="superscript"/>
        </w:rPr>
        <w:t>+</w:t>
      </w:r>
      <w:r>
        <w:t xml:space="preserve"> favorable-risk AML, with blasts in the CD34</w:t>
      </w:r>
      <w:r w:rsidRPr="002134E4">
        <w:rPr>
          <w:vertAlign w:val="superscript"/>
        </w:rPr>
        <w:t>−</w:t>
      </w:r>
      <w:r>
        <w:t xml:space="preserve"> compartment; the second plot shows a patient with additional FLT3-ITD, with accumulation of a CD34</w:t>
      </w:r>
      <w:r w:rsidRPr="002134E4">
        <w:rPr>
          <w:vertAlign w:val="superscript"/>
        </w:rPr>
        <w:t>+</w:t>
      </w:r>
      <w:r>
        <w:t xml:space="preserve"> fraction and a CD34</w:t>
      </w:r>
      <w:r w:rsidRPr="002134E4">
        <w:rPr>
          <w:vertAlign w:val="superscript"/>
        </w:rPr>
        <w:t>+</w:t>
      </w:r>
      <w:r>
        <w:t>CD38</w:t>
      </w:r>
      <w:r w:rsidRPr="002134E4">
        <w:rPr>
          <w:vertAlign w:val="superscript"/>
        </w:rPr>
        <w:t xml:space="preserve">− </w:t>
      </w:r>
      <w:r>
        <w:t>LSC subclone, corresponding to intermediate-risk AML; the third plot shows an adverse-risk patient with accumulation of blasts showing an LSC-associated pattern.</w:t>
      </w:r>
      <w:r w:rsidR="00FD373B" w:rsidRPr="007862B0">
        <w:rPr>
          <w:rFonts w:asciiTheme="minorHAnsi" w:hAnsiTheme="minorHAnsi" w:cstheme="minorHAnsi"/>
          <w:b/>
        </w:rPr>
        <w:br w:type="page"/>
      </w:r>
    </w:p>
    <w:p w14:paraId="441EF8DB" w14:textId="3D5FB742" w:rsidR="00B26184" w:rsidRPr="007862B0" w:rsidRDefault="001006FC" w:rsidP="00F563F9">
      <w:pPr>
        <w:rPr>
          <w:rFonts w:asciiTheme="minorHAnsi" w:hAnsiTheme="minorHAnsi" w:cstheme="minorHAnsi"/>
          <w:b/>
        </w:rPr>
      </w:pPr>
      <w:r w:rsidRPr="001006FC">
        <w:rPr>
          <w:rFonts w:asciiTheme="minorHAnsi" w:hAnsiTheme="minorHAnsi" w:cstheme="minorHAnsi"/>
          <w:b/>
          <w:noProof/>
          <w:lang w:val="fr-FR" w:eastAsia="fr-FR"/>
        </w:rPr>
        <w:lastRenderedPageBreak/>
        <w:drawing>
          <wp:inline distT="0" distB="0" distL="0" distR="0" wp14:anchorId="1C06415C" wp14:editId="1084B066">
            <wp:extent cx="5760720" cy="3239770"/>
            <wp:effectExtent l="0" t="0" r="0" b="0"/>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760720" cy="3239770"/>
                    </a:xfrm>
                    <a:prstGeom prst="rect">
                      <a:avLst/>
                    </a:prstGeom>
                  </pic:spPr>
                </pic:pic>
              </a:graphicData>
            </a:graphic>
          </wp:inline>
        </w:drawing>
      </w:r>
    </w:p>
    <w:p w14:paraId="733DB083" w14:textId="77777777" w:rsidR="00F563F9" w:rsidRPr="007862B0" w:rsidRDefault="00F563F9">
      <w:pPr>
        <w:rPr>
          <w:rFonts w:asciiTheme="minorHAnsi" w:hAnsiTheme="minorHAnsi" w:cstheme="minorHAnsi"/>
          <w:b/>
        </w:rPr>
      </w:pPr>
    </w:p>
    <w:p w14:paraId="20A99252" w14:textId="77777777" w:rsidR="00B26184" w:rsidRPr="007862B0" w:rsidRDefault="00B26184">
      <w:pPr>
        <w:rPr>
          <w:rFonts w:asciiTheme="minorHAnsi" w:hAnsiTheme="minorHAnsi" w:cstheme="minorHAnsi"/>
          <w:b/>
        </w:rPr>
      </w:pPr>
    </w:p>
    <w:p w14:paraId="7741AF82" w14:textId="77777777" w:rsidR="00CA5222" w:rsidRDefault="0080062B">
      <w:pPr>
        <w:widowControl/>
        <w:spacing w:after="160" w:line="259" w:lineRule="auto"/>
        <w:jc w:val="left"/>
      </w:pPr>
      <w:r>
        <w:rPr>
          <w:rStyle w:val="Strong"/>
        </w:rPr>
        <w:t xml:space="preserve">Supplemental Figure S3: </w:t>
      </w:r>
      <w:proofErr w:type="spellStart"/>
      <w:r>
        <w:rPr>
          <w:rStyle w:val="Strong"/>
        </w:rPr>
        <w:t>Interplatform</w:t>
      </w:r>
      <w:proofErr w:type="spellEnd"/>
      <w:r>
        <w:rPr>
          <w:rStyle w:val="Strong"/>
        </w:rPr>
        <w:t xml:space="preserve"> mirroring between two flow cytometer platforms.</w:t>
      </w:r>
      <w:r>
        <w:t xml:space="preserve"> (</w:t>
      </w:r>
      <w:r w:rsidRPr="0080062B">
        <w:rPr>
          <w:b/>
          <w:bCs/>
        </w:rPr>
        <w:t>A</w:t>
      </w:r>
      <w:r>
        <w:t>) Mirroring performed on 10 healthy bone marrow (</w:t>
      </w:r>
      <w:proofErr w:type="spellStart"/>
      <w:r>
        <w:t>hBM</w:t>
      </w:r>
      <w:proofErr w:type="spellEnd"/>
      <w:r>
        <w:t>) samples tested in parallel on two cytometer platforms, showing comparable marker-expression levels in different gated populations, including CD19</w:t>
      </w:r>
      <w:r w:rsidRPr="0080062B">
        <w:rPr>
          <w:vertAlign w:val="superscript"/>
        </w:rPr>
        <w:t>+</w:t>
      </w:r>
      <w:r>
        <w:t xml:space="preserve"> lymphocytes (blue) and CD117 and CD38 expression in MNC CD34</w:t>
      </w:r>
      <w:r w:rsidRPr="0080062B">
        <w:rPr>
          <w:vertAlign w:val="superscript"/>
        </w:rPr>
        <w:t>+</w:t>
      </w:r>
      <w:r>
        <w:t xml:space="preserve"> cells (red). (</w:t>
      </w:r>
      <w:r w:rsidRPr="0080062B">
        <w:rPr>
          <w:b/>
          <w:bCs/>
        </w:rPr>
        <w:t>B</w:t>
      </w:r>
      <w:r>
        <w:t>) Comparison of staining index values between the two cytometer platforms on mononuclear cells for each channel.</w:t>
      </w:r>
    </w:p>
    <w:p w14:paraId="1557B1C5" w14:textId="0827024A" w:rsidR="00C137F7" w:rsidRPr="007862B0" w:rsidRDefault="00C137F7">
      <w:pPr>
        <w:widowControl/>
        <w:spacing w:after="160" w:line="259" w:lineRule="auto"/>
        <w:jc w:val="left"/>
        <w:rPr>
          <w:rFonts w:asciiTheme="minorHAnsi" w:hAnsiTheme="minorHAnsi" w:cstheme="minorHAnsi"/>
          <w:b/>
        </w:rPr>
      </w:pPr>
      <w:r w:rsidRPr="007862B0">
        <w:rPr>
          <w:rFonts w:asciiTheme="minorHAnsi" w:hAnsiTheme="minorHAnsi" w:cstheme="minorHAnsi"/>
          <w:b/>
        </w:rPr>
        <w:br w:type="page"/>
      </w:r>
    </w:p>
    <w:p w14:paraId="604B867D" w14:textId="05F77A2C" w:rsidR="00C137F7" w:rsidRPr="007862B0" w:rsidRDefault="00C137F7" w:rsidP="00C137F7">
      <w:pPr>
        <w:rPr>
          <w:rFonts w:asciiTheme="minorHAnsi" w:hAnsiTheme="minorHAnsi" w:cstheme="minorHAnsi"/>
          <w:b/>
        </w:rPr>
      </w:pPr>
    </w:p>
    <w:p w14:paraId="4C7364E4" w14:textId="77777777" w:rsidR="00C137F7" w:rsidRPr="007862B0" w:rsidRDefault="00C137F7" w:rsidP="00C137F7">
      <w:pPr>
        <w:rPr>
          <w:rFonts w:asciiTheme="minorHAnsi" w:hAnsiTheme="minorHAnsi" w:cstheme="minorHAnsi"/>
          <w:b/>
        </w:rPr>
      </w:pPr>
    </w:p>
    <w:p w14:paraId="01F265DC" w14:textId="77777777" w:rsidR="00C137F7" w:rsidRPr="007862B0" w:rsidRDefault="002A29F2" w:rsidP="00C137F7">
      <w:pPr>
        <w:rPr>
          <w:rFonts w:asciiTheme="minorHAnsi" w:hAnsiTheme="minorHAnsi" w:cstheme="minorHAnsi"/>
          <w:b/>
        </w:rPr>
      </w:pPr>
      <w:r w:rsidRPr="007862B0">
        <w:rPr>
          <w:rFonts w:asciiTheme="minorHAnsi" w:hAnsiTheme="minorHAnsi" w:cstheme="minorHAnsi"/>
          <w:b/>
          <w:noProof/>
          <w:lang w:val="fr-FR" w:eastAsia="fr-FR"/>
        </w:rPr>
        <w:drawing>
          <wp:inline distT="0" distB="0" distL="0" distR="0" wp14:anchorId="53D9A92A" wp14:editId="6CBDE629">
            <wp:extent cx="5760720" cy="3240405"/>
            <wp:effectExtent l="0" t="0" r="0" b="0"/>
            <wp:docPr id="17" name="Imag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760720" cy="3240405"/>
                    </a:xfrm>
                    <a:prstGeom prst="rect">
                      <a:avLst/>
                    </a:prstGeom>
                  </pic:spPr>
                </pic:pic>
              </a:graphicData>
            </a:graphic>
          </wp:inline>
        </w:drawing>
      </w:r>
      <w:r w:rsidR="00C137F7" w:rsidRPr="007862B0">
        <w:rPr>
          <w:rFonts w:asciiTheme="minorHAnsi" w:hAnsiTheme="minorHAnsi" w:cstheme="minorHAnsi"/>
          <w:b/>
        </w:rPr>
        <w:t xml:space="preserve"> </w:t>
      </w:r>
    </w:p>
    <w:p w14:paraId="4B3A5308" w14:textId="77777777" w:rsidR="00C137F7" w:rsidRPr="007862B0" w:rsidRDefault="00C137F7">
      <w:pPr>
        <w:rPr>
          <w:rFonts w:asciiTheme="minorHAnsi" w:hAnsiTheme="minorHAnsi" w:cstheme="minorHAnsi"/>
          <w:b/>
        </w:rPr>
      </w:pPr>
    </w:p>
    <w:p w14:paraId="179036E6" w14:textId="77777777" w:rsidR="00C137F7" w:rsidRPr="007862B0" w:rsidRDefault="00C137F7">
      <w:pPr>
        <w:rPr>
          <w:rFonts w:asciiTheme="minorHAnsi" w:hAnsiTheme="minorHAnsi" w:cstheme="minorHAnsi"/>
          <w:b/>
        </w:rPr>
      </w:pPr>
    </w:p>
    <w:p w14:paraId="3DC2088B" w14:textId="23E2EFE9" w:rsidR="00C137F7" w:rsidRPr="007862B0" w:rsidRDefault="003B7D75">
      <w:pPr>
        <w:rPr>
          <w:rFonts w:asciiTheme="minorHAnsi" w:hAnsiTheme="minorHAnsi" w:cstheme="minorHAnsi"/>
          <w:b/>
        </w:rPr>
      </w:pPr>
      <w:r>
        <w:rPr>
          <w:rStyle w:val="Strong"/>
        </w:rPr>
        <w:t xml:space="preserve">Supplemental Figure S4: Schematic representation of </w:t>
      </w:r>
      <w:proofErr w:type="spellStart"/>
      <w:r>
        <w:rPr>
          <w:rStyle w:val="Strong"/>
        </w:rPr>
        <w:t>interplatform</w:t>
      </w:r>
      <w:proofErr w:type="spellEnd"/>
      <w:r>
        <w:rPr>
          <w:rStyle w:val="Strong"/>
        </w:rPr>
        <w:t xml:space="preserve"> mirroring between PMT- and APD-based cytometers.</w:t>
      </w:r>
      <w:r>
        <w:t xml:space="preserve"> The figure illustrates the strategy used to establish mirroring between PMT- and APD-based cytometers with different optical configurations, signal detection technologies, and digitization systems.</w:t>
      </w:r>
    </w:p>
    <w:p w14:paraId="57CE9B47" w14:textId="77777777" w:rsidR="00C137F7" w:rsidRPr="007862B0" w:rsidRDefault="00C137F7">
      <w:pPr>
        <w:rPr>
          <w:rFonts w:asciiTheme="minorHAnsi" w:hAnsiTheme="minorHAnsi" w:cstheme="minorHAnsi"/>
          <w:b/>
        </w:rPr>
      </w:pPr>
    </w:p>
    <w:p w14:paraId="2C27EA61" w14:textId="77777777" w:rsidR="00C137F7" w:rsidRPr="007862B0" w:rsidRDefault="00C137F7">
      <w:pPr>
        <w:widowControl/>
        <w:spacing w:after="160" w:line="259" w:lineRule="auto"/>
        <w:jc w:val="left"/>
        <w:rPr>
          <w:rFonts w:asciiTheme="minorHAnsi" w:hAnsiTheme="minorHAnsi" w:cstheme="minorHAnsi"/>
          <w:b/>
        </w:rPr>
      </w:pPr>
      <w:r w:rsidRPr="007862B0">
        <w:rPr>
          <w:rFonts w:asciiTheme="minorHAnsi" w:hAnsiTheme="minorHAnsi" w:cstheme="minorHAnsi"/>
          <w:b/>
        </w:rPr>
        <w:br w:type="page"/>
      </w:r>
    </w:p>
    <w:p w14:paraId="1257612F" w14:textId="1C362AB7" w:rsidR="00B94D77" w:rsidRPr="007862B0" w:rsidRDefault="00B94D77" w:rsidP="00C137F7">
      <w:pPr>
        <w:rPr>
          <w:rFonts w:asciiTheme="minorHAnsi" w:hAnsiTheme="minorHAnsi" w:cstheme="minorHAnsi"/>
          <w:b/>
        </w:rPr>
      </w:pPr>
    </w:p>
    <w:p w14:paraId="3D3808AA" w14:textId="77777777" w:rsidR="00B94D77" w:rsidRPr="007862B0" w:rsidRDefault="002668E2" w:rsidP="00C137F7">
      <w:pPr>
        <w:rPr>
          <w:rFonts w:asciiTheme="minorHAnsi" w:hAnsiTheme="minorHAnsi" w:cstheme="minorHAnsi"/>
          <w:b/>
        </w:rPr>
      </w:pPr>
      <w:r w:rsidRPr="007862B0">
        <w:rPr>
          <w:rFonts w:asciiTheme="minorHAnsi" w:hAnsiTheme="minorHAnsi" w:cstheme="minorHAnsi"/>
          <w:b/>
          <w:noProof/>
          <w:lang w:val="fr-FR" w:eastAsia="fr-FR"/>
        </w:rPr>
        <w:drawing>
          <wp:inline distT="0" distB="0" distL="0" distR="0" wp14:anchorId="35A62623" wp14:editId="432F6F64">
            <wp:extent cx="5760720" cy="3240405"/>
            <wp:effectExtent l="0" t="0" r="0" b="0"/>
            <wp:docPr id="18" name="Imag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760720" cy="3240405"/>
                    </a:xfrm>
                    <a:prstGeom prst="rect">
                      <a:avLst/>
                    </a:prstGeom>
                  </pic:spPr>
                </pic:pic>
              </a:graphicData>
            </a:graphic>
          </wp:inline>
        </w:drawing>
      </w:r>
    </w:p>
    <w:p w14:paraId="29B12B44" w14:textId="77777777" w:rsidR="00B94D77" w:rsidRPr="007862B0" w:rsidRDefault="00B94D77" w:rsidP="00C137F7">
      <w:pPr>
        <w:rPr>
          <w:rFonts w:asciiTheme="minorHAnsi" w:hAnsiTheme="minorHAnsi" w:cstheme="minorHAnsi"/>
          <w:b/>
        </w:rPr>
      </w:pPr>
    </w:p>
    <w:p w14:paraId="0CD58A73" w14:textId="77777777" w:rsidR="003041A5" w:rsidRPr="007862B0" w:rsidRDefault="002668E2" w:rsidP="00C137F7">
      <w:pPr>
        <w:rPr>
          <w:rFonts w:asciiTheme="minorHAnsi" w:hAnsiTheme="minorHAnsi" w:cstheme="minorHAnsi"/>
          <w:b/>
        </w:rPr>
      </w:pPr>
      <w:r w:rsidRPr="007862B0">
        <w:rPr>
          <w:rFonts w:asciiTheme="minorHAnsi" w:hAnsiTheme="minorHAnsi" w:cstheme="minorHAnsi"/>
          <w:b/>
          <w:noProof/>
          <w:lang w:val="fr-FR" w:eastAsia="fr-FR"/>
        </w:rPr>
        <w:drawing>
          <wp:inline distT="0" distB="0" distL="0" distR="0" wp14:anchorId="7291513C" wp14:editId="22FAFD09">
            <wp:extent cx="5815584" cy="3271266"/>
            <wp:effectExtent l="0" t="0" r="0" b="5715"/>
            <wp:docPr id="23" name="Imag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817876" cy="3272555"/>
                    </a:xfrm>
                    <a:prstGeom prst="rect">
                      <a:avLst/>
                    </a:prstGeom>
                  </pic:spPr>
                </pic:pic>
              </a:graphicData>
            </a:graphic>
          </wp:inline>
        </w:drawing>
      </w:r>
    </w:p>
    <w:p w14:paraId="772D20D6" w14:textId="77777777" w:rsidR="003041A5" w:rsidRPr="007862B0" w:rsidRDefault="003041A5" w:rsidP="00C137F7">
      <w:pPr>
        <w:rPr>
          <w:rFonts w:asciiTheme="minorHAnsi" w:hAnsiTheme="minorHAnsi" w:cstheme="minorHAnsi"/>
          <w:b/>
        </w:rPr>
      </w:pPr>
    </w:p>
    <w:p w14:paraId="1951A163" w14:textId="77777777" w:rsidR="003041A5" w:rsidRPr="007862B0" w:rsidRDefault="003041A5" w:rsidP="00C137F7">
      <w:pPr>
        <w:rPr>
          <w:rFonts w:asciiTheme="minorHAnsi" w:hAnsiTheme="minorHAnsi" w:cstheme="minorHAnsi"/>
          <w:b/>
        </w:rPr>
      </w:pPr>
    </w:p>
    <w:p w14:paraId="6BA91F50" w14:textId="77777777" w:rsidR="003041A5" w:rsidRPr="007862B0" w:rsidRDefault="003041A5" w:rsidP="00C137F7">
      <w:pPr>
        <w:rPr>
          <w:rFonts w:asciiTheme="minorHAnsi" w:hAnsiTheme="minorHAnsi" w:cstheme="minorHAnsi"/>
          <w:b/>
        </w:rPr>
      </w:pPr>
    </w:p>
    <w:p w14:paraId="522343C9" w14:textId="77777777" w:rsidR="003041A5" w:rsidRPr="007862B0" w:rsidRDefault="002668E2" w:rsidP="00C137F7">
      <w:pPr>
        <w:rPr>
          <w:rFonts w:asciiTheme="minorHAnsi" w:hAnsiTheme="minorHAnsi" w:cstheme="minorHAnsi"/>
          <w:b/>
        </w:rPr>
      </w:pPr>
      <w:r w:rsidRPr="007862B0">
        <w:rPr>
          <w:rFonts w:asciiTheme="minorHAnsi" w:hAnsiTheme="minorHAnsi" w:cstheme="minorHAnsi"/>
          <w:b/>
          <w:noProof/>
          <w:lang w:val="fr-FR" w:eastAsia="fr-FR"/>
        </w:rPr>
        <w:lastRenderedPageBreak/>
        <w:drawing>
          <wp:inline distT="0" distB="0" distL="0" distR="0" wp14:anchorId="29A22B48" wp14:editId="56D2C03D">
            <wp:extent cx="4107347" cy="2310384"/>
            <wp:effectExtent l="0" t="0" r="7620" b="0"/>
            <wp:docPr id="25" name="Imag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4152111" cy="2335564"/>
                    </a:xfrm>
                    <a:prstGeom prst="rect">
                      <a:avLst/>
                    </a:prstGeom>
                  </pic:spPr>
                </pic:pic>
              </a:graphicData>
            </a:graphic>
          </wp:inline>
        </w:drawing>
      </w:r>
    </w:p>
    <w:p w14:paraId="2DEC5C73" w14:textId="77777777" w:rsidR="003041A5" w:rsidRPr="007862B0" w:rsidRDefault="00243969" w:rsidP="00C137F7">
      <w:pPr>
        <w:rPr>
          <w:rFonts w:asciiTheme="minorHAnsi" w:hAnsiTheme="minorHAnsi" w:cstheme="minorHAnsi"/>
          <w:b/>
        </w:rPr>
      </w:pPr>
      <w:r w:rsidRPr="007862B0">
        <w:rPr>
          <w:rFonts w:asciiTheme="minorHAnsi" w:hAnsiTheme="minorHAnsi" w:cstheme="minorHAnsi"/>
          <w:b/>
          <w:noProof/>
          <w:lang w:val="fr-FR" w:eastAsia="fr-FR"/>
        </w:rPr>
        <w:drawing>
          <wp:inline distT="0" distB="0" distL="0" distR="0" wp14:anchorId="0867EFAC" wp14:editId="5EC4AAA5">
            <wp:extent cx="4042324" cy="2273808"/>
            <wp:effectExtent l="0" t="0" r="0" b="0"/>
            <wp:docPr id="26" name="Imag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4085676" cy="2298193"/>
                    </a:xfrm>
                    <a:prstGeom prst="rect">
                      <a:avLst/>
                    </a:prstGeom>
                  </pic:spPr>
                </pic:pic>
              </a:graphicData>
            </a:graphic>
          </wp:inline>
        </w:drawing>
      </w:r>
      <w:r w:rsidRPr="007862B0">
        <w:rPr>
          <w:rFonts w:asciiTheme="minorHAnsi" w:hAnsiTheme="minorHAnsi" w:cstheme="minorHAnsi"/>
          <w:noProof/>
        </w:rPr>
        <w:t xml:space="preserve"> </w:t>
      </w:r>
      <w:r w:rsidRPr="007862B0">
        <w:rPr>
          <w:rFonts w:asciiTheme="minorHAnsi" w:hAnsiTheme="minorHAnsi" w:cstheme="minorHAnsi"/>
          <w:b/>
          <w:noProof/>
          <w:lang w:val="fr-FR" w:eastAsia="fr-FR"/>
        </w:rPr>
        <w:drawing>
          <wp:inline distT="0" distB="0" distL="0" distR="0" wp14:anchorId="33D068B7" wp14:editId="70DF6DC9">
            <wp:extent cx="4096512" cy="2304288"/>
            <wp:effectExtent l="0" t="0" r="0" b="1270"/>
            <wp:docPr id="27" name="Imag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4106804" cy="2310077"/>
                    </a:xfrm>
                    <a:prstGeom prst="rect">
                      <a:avLst/>
                    </a:prstGeom>
                  </pic:spPr>
                </pic:pic>
              </a:graphicData>
            </a:graphic>
          </wp:inline>
        </w:drawing>
      </w:r>
      <w:r w:rsidRPr="007862B0">
        <w:rPr>
          <w:rFonts w:asciiTheme="minorHAnsi" w:hAnsiTheme="minorHAnsi" w:cstheme="minorHAnsi"/>
          <w:noProof/>
        </w:rPr>
        <w:t xml:space="preserve"> </w:t>
      </w:r>
      <w:r w:rsidRPr="007862B0">
        <w:rPr>
          <w:rFonts w:asciiTheme="minorHAnsi" w:hAnsiTheme="minorHAnsi" w:cstheme="minorHAnsi"/>
          <w:noProof/>
          <w:lang w:val="fr-FR" w:eastAsia="fr-FR"/>
        </w:rPr>
        <w:drawing>
          <wp:inline distT="0" distB="0" distL="0" distR="0" wp14:anchorId="646D7C0F" wp14:editId="7E2A90AF">
            <wp:extent cx="4139184" cy="1287747"/>
            <wp:effectExtent l="0" t="0" r="0" b="8255"/>
            <wp:docPr id="28" name="Imag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srcRect b="44691"/>
                    <a:stretch/>
                  </pic:blipFill>
                  <pic:spPr bwMode="auto">
                    <a:xfrm>
                      <a:off x="0" y="0"/>
                      <a:ext cx="4217254" cy="1312035"/>
                    </a:xfrm>
                    <a:prstGeom prst="rect">
                      <a:avLst/>
                    </a:prstGeom>
                    <a:ln>
                      <a:noFill/>
                    </a:ln>
                    <a:extLst>
                      <a:ext uri="{53640926-AAD7-44D8-BBD7-CCE9431645EC}">
                        <a14:shadowObscured xmlns:a14="http://schemas.microsoft.com/office/drawing/2010/main"/>
                      </a:ext>
                    </a:extLst>
                  </pic:spPr>
                </pic:pic>
              </a:graphicData>
            </a:graphic>
          </wp:inline>
        </w:drawing>
      </w:r>
    </w:p>
    <w:p w14:paraId="5FA366DE" w14:textId="2429DC56" w:rsidR="00243969" w:rsidRPr="007862B0" w:rsidRDefault="00C75662">
      <w:pPr>
        <w:widowControl/>
        <w:spacing w:after="160" w:line="259" w:lineRule="auto"/>
        <w:jc w:val="left"/>
        <w:rPr>
          <w:rFonts w:asciiTheme="minorHAnsi" w:hAnsiTheme="minorHAnsi" w:cstheme="minorHAnsi"/>
          <w:sz w:val="22"/>
          <w:szCs w:val="22"/>
        </w:rPr>
      </w:pPr>
      <w:r>
        <w:rPr>
          <w:rStyle w:val="Strong"/>
        </w:rPr>
        <w:t>Supplemental Figure S5: Optimization of platform mirroring across cytometers with different digitization ranges.</w:t>
      </w:r>
      <w:r>
        <w:t xml:space="preserve"> (</w:t>
      </w:r>
      <w:r w:rsidRPr="00C75662">
        <w:rPr>
          <w:b/>
          <w:bCs/>
        </w:rPr>
        <w:t>A</w:t>
      </w:r>
      <w:r>
        <w:t xml:space="preserve">) Effect of direct transposition of </w:t>
      </w:r>
      <w:proofErr w:type="spellStart"/>
      <w:r>
        <w:t>EuroFlow</w:t>
      </w:r>
      <w:proofErr w:type="spellEnd"/>
      <w:r>
        <w:t xml:space="preserve"> settings on cytometer platforms with different digitization ranges, including 18-bit, 20-bit, and 24-bit </w:t>
      </w:r>
      <w:r>
        <w:lastRenderedPageBreak/>
        <w:t>systems. (</w:t>
      </w:r>
      <w:r w:rsidRPr="00C75662">
        <w:rPr>
          <w:b/>
          <w:bCs/>
        </w:rPr>
        <w:t>B</w:t>
      </w:r>
      <w:r>
        <w:t xml:space="preserve">) Distribution of cell populations on the </w:t>
      </w:r>
      <w:proofErr w:type="spellStart"/>
      <w:r>
        <w:t>DxFlex</w:t>
      </w:r>
      <w:proofErr w:type="spellEnd"/>
      <w:r>
        <w:t xml:space="preserve"> platform according to different settings displayed on the full-range scale. (</w:t>
      </w:r>
      <w:r w:rsidRPr="00C75662">
        <w:rPr>
          <w:b/>
          <w:bCs/>
        </w:rPr>
        <w:t>C</w:t>
      </w:r>
      <w:r>
        <w:t xml:space="preserve">) Acquisition of 8-peak rainbow beads in parallel on the Lyric platform (top row) and the </w:t>
      </w:r>
      <w:proofErr w:type="spellStart"/>
      <w:r>
        <w:t>DxFlex</w:t>
      </w:r>
      <w:proofErr w:type="spellEnd"/>
      <w:r>
        <w:t xml:space="preserve"> platform (middle row), with overlap after scale adjustment for each channel (bottom row).</w:t>
      </w:r>
    </w:p>
    <w:p w14:paraId="1AAE2A3E" w14:textId="13A5203B" w:rsidR="003B7D75" w:rsidRDefault="003B7D75">
      <w:pPr>
        <w:widowControl/>
        <w:spacing w:after="160" w:line="259" w:lineRule="auto"/>
        <w:jc w:val="left"/>
        <w:rPr>
          <w:rFonts w:asciiTheme="minorHAnsi" w:hAnsiTheme="minorHAnsi" w:cstheme="minorHAnsi"/>
          <w:b/>
        </w:rPr>
      </w:pPr>
      <w:r>
        <w:rPr>
          <w:rFonts w:asciiTheme="minorHAnsi" w:hAnsiTheme="minorHAnsi" w:cstheme="minorHAnsi"/>
          <w:b/>
        </w:rPr>
        <w:br w:type="page"/>
      </w:r>
    </w:p>
    <w:p w14:paraId="35D8001F" w14:textId="77777777" w:rsidR="0019001A" w:rsidRPr="007862B0" w:rsidRDefault="0019001A" w:rsidP="00D316B1">
      <w:pPr>
        <w:rPr>
          <w:rFonts w:asciiTheme="minorHAnsi" w:hAnsiTheme="minorHAnsi" w:cstheme="minorHAnsi"/>
          <w:b/>
        </w:rPr>
      </w:pPr>
    </w:p>
    <w:p w14:paraId="3A898459" w14:textId="1FEFB5A9" w:rsidR="0019001A" w:rsidRPr="007862B0" w:rsidRDefault="001006FC" w:rsidP="00D316B1">
      <w:pPr>
        <w:rPr>
          <w:rFonts w:asciiTheme="minorHAnsi" w:hAnsiTheme="minorHAnsi" w:cstheme="minorHAnsi"/>
          <w:b/>
        </w:rPr>
      </w:pPr>
      <w:r w:rsidRPr="001006FC">
        <w:rPr>
          <w:rFonts w:asciiTheme="minorHAnsi" w:hAnsiTheme="minorHAnsi" w:cstheme="minorHAnsi"/>
          <w:b/>
          <w:noProof/>
          <w:lang w:val="fr-FR" w:eastAsia="fr-FR"/>
        </w:rPr>
        <w:drawing>
          <wp:inline distT="0" distB="0" distL="0" distR="0" wp14:anchorId="4A18CEEA" wp14:editId="59694971">
            <wp:extent cx="5760720" cy="3239770"/>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760720" cy="3239770"/>
                    </a:xfrm>
                    <a:prstGeom prst="rect">
                      <a:avLst/>
                    </a:prstGeom>
                  </pic:spPr>
                </pic:pic>
              </a:graphicData>
            </a:graphic>
          </wp:inline>
        </w:drawing>
      </w:r>
    </w:p>
    <w:p w14:paraId="48A71110" w14:textId="733C3F52" w:rsidR="00C401B2" w:rsidRPr="007862B0" w:rsidRDefault="001006FC" w:rsidP="00D316B1">
      <w:pPr>
        <w:rPr>
          <w:rFonts w:asciiTheme="minorHAnsi" w:hAnsiTheme="minorHAnsi" w:cstheme="minorHAnsi"/>
          <w:b/>
        </w:rPr>
      </w:pPr>
      <w:r w:rsidRPr="001006FC">
        <w:rPr>
          <w:rFonts w:asciiTheme="minorHAnsi" w:hAnsiTheme="minorHAnsi" w:cstheme="minorHAnsi"/>
          <w:b/>
          <w:noProof/>
          <w:lang w:val="fr-FR" w:eastAsia="fr-FR"/>
        </w:rPr>
        <w:drawing>
          <wp:inline distT="0" distB="0" distL="0" distR="0" wp14:anchorId="69561D7B" wp14:editId="5E7B16AE">
            <wp:extent cx="5760720" cy="3239770"/>
            <wp:effectExtent l="0" t="0" r="0" b="0"/>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760720" cy="3239770"/>
                    </a:xfrm>
                    <a:prstGeom prst="rect">
                      <a:avLst/>
                    </a:prstGeom>
                  </pic:spPr>
                </pic:pic>
              </a:graphicData>
            </a:graphic>
          </wp:inline>
        </w:drawing>
      </w:r>
    </w:p>
    <w:p w14:paraId="4C467EA2" w14:textId="77777777" w:rsidR="00C63251" w:rsidRPr="007862B0" w:rsidRDefault="00C63251" w:rsidP="00C63251">
      <w:pPr>
        <w:rPr>
          <w:rFonts w:asciiTheme="minorHAnsi" w:hAnsiTheme="minorHAnsi" w:cstheme="minorHAnsi"/>
          <w:b/>
        </w:rPr>
      </w:pPr>
    </w:p>
    <w:p w14:paraId="4774F54D" w14:textId="77777777" w:rsidR="00C63251" w:rsidRPr="007862B0" w:rsidRDefault="00C63251" w:rsidP="00C63251">
      <w:pPr>
        <w:rPr>
          <w:rFonts w:asciiTheme="minorHAnsi" w:hAnsiTheme="minorHAnsi" w:cstheme="minorHAnsi"/>
          <w:b/>
        </w:rPr>
      </w:pPr>
    </w:p>
    <w:p w14:paraId="6CF36CC0" w14:textId="77777777" w:rsidR="00C63251" w:rsidRPr="007862B0" w:rsidRDefault="00C63251">
      <w:pPr>
        <w:widowControl/>
        <w:spacing w:after="160" w:line="259" w:lineRule="auto"/>
        <w:jc w:val="left"/>
        <w:rPr>
          <w:rFonts w:asciiTheme="minorHAnsi" w:hAnsiTheme="minorHAnsi" w:cstheme="minorHAnsi"/>
          <w:b/>
        </w:rPr>
      </w:pPr>
      <w:r w:rsidRPr="007862B0">
        <w:rPr>
          <w:rFonts w:asciiTheme="minorHAnsi" w:hAnsiTheme="minorHAnsi" w:cstheme="minorHAnsi"/>
          <w:b/>
        </w:rPr>
        <w:br w:type="page"/>
      </w:r>
    </w:p>
    <w:p w14:paraId="02B41C9A" w14:textId="77A3728E" w:rsidR="00C63251" w:rsidRPr="007862B0" w:rsidRDefault="001006FC" w:rsidP="00D316B1">
      <w:pPr>
        <w:rPr>
          <w:rFonts w:asciiTheme="minorHAnsi" w:hAnsiTheme="minorHAnsi" w:cstheme="minorHAnsi"/>
          <w:b/>
        </w:rPr>
      </w:pPr>
      <w:r w:rsidRPr="001006FC">
        <w:rPr>
          <w:rFonts w:asciiTheme="minorHAnsi" w:hAnsiTheme="minorHAnsi" w:cstheme="minorHAnsi"/>
          <w:b/>
          <w:noProof/>
          <w:lang w:val="fr-FR" w:eastAsia="fr-FR"/>
        </w:rPr>
        <w:lastRenderedPageBreak/>
        <w:drawing>
          <wp:inline distT="0" distB="0" distL="0" distR="0" wp14:anchorId="546EB396" wp14:editId="48DC3BAC">
            <wp:extent cx="5760720" cy="3239770"/>
            <wp:effectExtent l="0" t="0" r="0" b="0"/>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760720" cy="3239770"/>
                    </a:xfrm>
                    <a:prstGeom prst="rect">
                      <a:avLst/>
                    </a:prstGeom>
                  </pic:spPr>
                </pic:pic>
              </a:graphicData>
            </a:graphic>
          </wp:inline>
        </w:drawing>
      </w:r>
    </w:p>
    <w:p w14:paraId="52B9E928" w14:textId="77777777" w:rsidR="00C63251" w:rsidRPr="007862B0" w:rsidRDefault="00C63251" w:rsidP="00C63251">
      <w:pPr>
        <w:rPr>
          <w:rFonts w:asciiTheme="minorHAnsi" w:hAnsiTheme="minorHAnsi" w:cstheme="minorHAnsi"/>
          <w:b/>
        </w:rPr>
      </w:pPr>
    </w:p>
    <w:p w14:paraId="413279A0" w14:textId="77777777" w:rsidR="00C63251" w:rsidRPr="007862B0" w:rsidRDefault="00C63251" w:rsidP="00C63251">
      <w:pPr>
        <w:rPr>
          <w:rFonts w:asciiTheme="minorHAnsi" w:hAnsiTheme="minorHAnsi" w:cstheme="minorHAnsi"/>
          <w:b/>
        </w:rPr>
      </w:pPr>
    </w:p>
    <w:p w14:paraId="4870D4A7" w14:textId="77777777" w:rsidR="00C63251" w:rsidRPr="007862B0" w:rsidRDefault="00C63251" w:rsidP="00C63251">
      <w:pPr>
        <w:rPr>
          <w:rFonts w:asciiTheme="minorHAnsi" w:hAnsiTheme="minorHAnsi" w:cstheme="minorHAnsi"/>
          <w:b/>
        </w:rPr>
      </w:pPr>
    </w:p>
    <w:p w14:paraId="2B9AE93B" w14:textId="77777777" w:rsidR="00C63251" w:rsidRPr="007862B0" w:rsidRDefault="00C63251" w:rsidP="00C63251">
      <w:pPr>
        <w:rPr>
          <w:rFonts w:asciiTheme="minorHAnsi" w:hAnsiTheme="minorHAnsi" w:cstheme="minorHAnsi"/>
          <w:b/>
        </w:rPr>
      </w:pPr>
    </w:p>
    <w:p w14:paraId="1BCF86C7" w14:textId="47A8D1F6" w:rsidR="00CE20AE" w:rsidRPr="005A3294" w:rsidRDefault="00CE20AE" w:rsidP="00CE20AE">
      <w:pPr>
        <w:widowControl/>
        <w:spacing w:before="100" w:beforeAutospacing="1" w:after="100" w:afterAutospacing="1"/>
        <w:jc w:val="left"/>
        <w:rPr>
          <w:rFonts w:asciiTheme="minorHAnsi" w:eastAsia="Times New Roman" w:hAnsiTheme="minorHAnsi" w:cstheme="minorHAnsi"/>
          <w:lang w:val="en-IN" w:eastAsia="en-IN"/>
        </w:rPr>
      </w:pPr>
      <w:r w:rsidRPr="005A3294">
        <w:rPr>
          <w:rFonts w:asciiTheme="minorHAnsi" w:eastAsia="Times New Roman" w:hAnsiTheme="minorHAnsi" w:cstheme="minorHAnsi"/>
          <w:b/>
          <w:bCs/>
          <w:lang w:val="en-IN" w:eastAsia="en-IN"/>
        </w:rPr>
        <w:t>Supplemental Figure S6: Reference bone marrow marker-expression profiles and progenitor distributions.</w:t>
      </w:r>
      <w:r w:rsidRPr="005A3294">
        <w:rPr>
          <w:rFonts w:asciiTheme="minorHAnsi" w:eastAsia="Times New Roman" w:hAnsiTheme="minorHAnsi" w:cstheme="minorHAnsi"/>
          <w:lang w:val="en-IN" w:eastAsia="en-IN"/>
        </w:rPr>
        <w:t xml:space="preserve"> (</w:t>
      </w:r>
      <w:r w:rsidRPr="005A3294">
        <w:rPr>
          <w:rFonts w:asciiTheme="minorHAnsi" w:eastAsia="Times New Roman" w:hAnsiTheme="minorHAnsi" w:cstheme="minorHAnsi"/>
          <w:b/>
          <w:bCs/>
          <w:lang w:val="en-IN" w:eastAsia="en-IN"/>
        </w:rPr>
        <w:t>A</w:t>
      </w:r>
      <w:r w:rsidRPr="005A3294">
        <w:rPr>
          <w:rFonts w:asciiTheme="minorHAnsi" w:eastAsia="Times New Roman" w:hAnsiTheme="minorHAnsi" w:cstheme="minorHAnsi"/>
          <w:lang w:val="en-IN" w:eastAsia="en-IN"/>
        </w:rPr>
        <w:t>) Variation in marker-expression MFI for CD33, CD123, MIX (CLL1/TIM3/CD97), CD90, and CD45RA according to bone marrow status in 25 healthy donor, 34 inflammatory, and 76 regenerating bone marrow samples. The first row shows MNC CD34</w:t>
      </w:r>
      <w:r w:rsidRPr="005A3294">
        <w:rPr>
          <w:rFonts w:asciiTheme="minorHAnsi" w:eastAsia="Times New Roman" w:hAnsiTheme="minorHAnsi" w:cstheme="minorHAnsi"/>
          <w:vertAlign w:val="superscript"/>
          <w:lang w:val="en-IN" w:eastAsia="en-IN"/>
        </w:rPr>
        <w:t>+</w:t>
      </w:r>
      <w:r w:rsidRPr="005A3294">
        <w:rPr>
          <w:rFonts w:asciiTheme="minorHAnsi" w:eastAsia="Times New Roman" w:hAnsiTheme="minorHAnsi" w:cstheme="minorHAnsi"/>
          <w:lang w:val="en-IN" w:eastAsia="en-IN"/>
        </w:rPr>
        <w:t xml:space="preserve"> cells, and the second row shows the CD34</w:t>
      </w:r>
      <w:r w:rsidRPr="005A3294">
        <w:rPr>
          <w:rFonts w:asciiTheme="minorHAnsi" w:eastAsia="Times New Roman" w:hAnsiTheme="minorHAnsi" w:cstheme="minorHAnsi"/>
          <w:vertAlign w:val="superscript"/>
          <w:lang w:val="en-IN" w:eastAsia="en-IN"/>
        </w:rPr>
        <w:t>+</w:t>
      </w:r>
      <w:r w:rsidRPr="005A3294">
        <w:rPr>
          <w:rFonts w:asciiTheme="minorHAnsi" w:eastAsia="Times New Roman" w:hAnsiTheme="minorHAnsi" w:cstheme="minorHAnsi"/>
          <w:lang w:val="en-IN" w:eastAsia="en-IN"/>
        </w:rPr>
        <w:t>CD38</w:t>
      </w:r>
      <w:r w:rsidRPr="005A3294">
        <w:rPr>
          <w:rFonts w:asciiTheme="minorHAnsi" w:eastAsia="Times New Roman" w:hAnsiTheme="minorHAnsi" w:cstheme="minorHAnsi"/>
          <w:vertAlign w:val="superscript"/>
          <w:lang w:val="en-IN" w:eastAsia="en-IN"/>
        </w:rPr>
        <w:t>−</w:t>
      </w:r>
      <w:r w:rsidRPr="005A3294">
        <w:rPr>
          <w:rFonts w:asciiTheme="minorHAnsi" w:eastAsia="Times New Roman" w:hAnsiTheme="minorHAnsi" w:cstheme="minorHAnsi"/>
          <w:lang w:val="en-IN" w:eastAsia="en-IN"/>
        </w:rPr>
        <w:t xml:space="preserve"> fraction. (</w:t>
      </w:r>
      <w:r w:rsidRPr="005A3294">
        <w:rPr>
          <w:rFonts w:asciiTheme="minorHAnsi" w:eastAsia="Times New Roman" w:hAnsiTheme="minorHAnsi" w:cstheme="minorHAnsi"/>
          <w:b/>
          <w:bCs/>
          <w:lang w:val="en-IN" w:eastAsia="en-IN"/>
        </w:rPr>
        <w:t>B</w:t>
      </w:r>
      <w:r w:rsidRPr="005A3294">
        <w:rPr>
          <w:rFonts w:asciiTheme="minorHAnsi" w:eastAsia="Times New Roman" w:hAnsiTheme="minorHAnsi" w:cstheme="minorHAnsi"/>
          <w:lang w:val="en-IN" w:eastAsia="en-IN"/>
        </w:rPr>
        <w:t>) Comparison of the expression intensity of CD33, CD123, MIX (CLL1/TIM3/CD97), CD90, and CD45RA between the CD34</w:t>
      </w:r>
      <w:r w:rsidRPr="005A3294">
        <w:rPr>
          <w:rFonts w:asciiTheme="minorHAnsi" w:eastAsia="Times New Roman" w:hAnsiTheme="minorHAnsi" w:cstheme="minorHAnsi"/>
          <w:vertAlign w:val="superscript"/>
          <w:lang w:val="en-IN" w:eastAsia="en-IN"/>
        </w:rPr>
        <w:t>+</w:t>
      </w:r>
      <w:r w:rsidRPr="005A3294">
        <w:rPr>
          <w:rFonts w:asciiTheme="minorHAnsi" w:eastAsia="Times New Roman" w:hAnsiTheme="minorHAnsi" w:cstheme="minorHAnsi"/>
          <w:lang w:val="en-IN" w:eastAsia="en-IN"/>
        </w:rPr>
        <w:t>CD38</w:t>
      </w:r>
      <w:r w:rsidRPr="005A3294">
        <w:rPr>
          <w:rFonts w:asciiTheme="minorHAnsi" w:eastAsia="Times New Roman" w:hAnsiTheme="minorHAnsi" w:cstheme="minorHAnsi"/>
          <w:vertAlign w:val="superscript"/>
          <w:lang w:val="en-IN" w:eastAsia="en-IN"/>
        </w:rPr>
        <w:t>−</w:t>
      </w:r>
      <w:r w:rsidRPr="005A3294">
        <w:rPr>
          <w:rFonts w:asciiTheme="minorHAnsi" w:eastAsia="Times New Roman" w:hAnsiTheme="minorHAnsi" w:cstheme="minorHAnsi"/>
          <w:lang w:val="en-IN" w:eastAsia="en-IN"/>
        </w:rPr>
        <w:t xml:space="preserve"> and MNC CD34</w:t>
      </w:r>
      <w:r w:rsidRPr="005A3294">
        <w:rPr>
          <w:rFonts w:asciiTheme="minorHAnsi" w:eastAsia="Times New Roman" w:hAnsiTheme="minorHAnsi" w:cstheme="minorHAnsi"/>
          <w:vertAlign w:val="superscript"/>
          <w:lang w:val="en-IN" w:eastAsia="en-IN"/>
        </w:rPr>
        <w:t>+</w:t>
      </w:r>
      <w:r w:rsidRPr="005A3294">
        <w:rPr>
          <w:rFonts w:asciiTheme="minorHAnsi" w:eastAsia="Times New Roman" w:hAnsiTheme="minorHAnsi" w:cstheme="minorHAnsi"/>
          <w:lang w:val="en-IN" w:eastAsia="en-IN"/>
        </w:rPr>
        <w:t xml:space="preserve"> populations. (</w:t>
      </w:r>
      <w:r w:rsidRPr="005A3294">
        <w:rPr>
          <w:rFonts w:asciiTheme="minorHAnsi" w:eastAsia="Times New Roman" w:hAnsiTheme="minorHAnsi" w:cstheme="minorHAnsi"/>
          <w:b/>
          <w:bCs/>
          <w:lang w:val="en-IN" w:eastAsia="en-IN"/>
        </w:rPr>
        <w:t>C</w:t>
      </w:r>
      <w:r w:rsidRPr="005A3294">
        <w:rPr>
          <w:rFonts w:asciiTheme="minorHAnsi" w:eastAsia="Times New Roman" w:hAnsiTheme="minorHAnsi" w:cstheme="minorHAnsi"/>
          <w:lang w:val="en-IN" w:eastAsia="en-IN"/>
        </w:rPr>
        <w:t>) Distribution of progenitor populations and reference values in bone marrow samples. Frequencies are shown for CSH in P6 (orange), MPP-like in P6 (green), GMP-like in P7+P8 (blue), CMP-like in P7+P8 (purple), MEP-like in P8 (red), MNC CD34</w:t>
      </w:r>
      <w:r w:rsidRPr="005A3294">
        <w:rPr>
          <w:rFonts w:asciiTheme="minorHAnsi" w:eastAsia="Times New Roman" w:hAnsiTheme="minorHAnsi" w:cstheme="minorHAnsi"/>
          <w:vertAlign w:val="superscript"/>
          <w:lang w:val="en-IN" w:eastAsia="en-IN"/>
        </w:rPr>
        <w:t>+</w:t>
      </w:r>
      <w:r w:rsidRPr="005A3294">
        <w:rPr>
          <w:rFonts w:asciiTheme="minorHAnsi" w:eastAsia="Times New Roman" w:hAnsiTheme="minorHAnsi" w:cstheme="minorHAnsi"/>
          <w:lang w:val="en-IN" w:eastAsia="en-IN"/>
        </w:rPr>
        <w:t xml:space="preserve"> in WBC45</w:t>
      </w:r>
      <w:r w:rsidRPr="005A3294">
        <w:rPr>
          <w:rFonts w:asciiTheme="minorHAnsi" w:eastAsia="Times New Roman" w:hAnsiTheme="minorHAnsi" w:cstheme="minorHAnsi"/>
          <w:vertAlign w:val="superscript"/>
          <w:lang w:val="en-IN" w:eastAsia="en-IN"/>
        </w:rPr>
        <w:t>+</w:t>
      </w:r>
      <w:r w:rsidRPr="005A3294">
        <w:rPr>
          <w:rFonts w:asciiTheme="minorHAnsi" w:eastAsia="Times New Roman" w:hAnsiTheme="minorHAnsi" w:cstheme="minorHAnsi"/>
          <w:lang w:val="en-IN" w:eastAsia="en-IN"/>
        </w:rPr>
        <w:t xml:space="preserve"> (yellow), P6 (CD34</w:t>
      </w:r>
      <w:r w:rsidRPr="005A3294">
        <w:rPr>
          <w:rFonts w:asciiTheme="minorHAnsi" w:eastAsia="Times New Roman" w:hAnsiTheme="minorHAnsi" w:cstheme="minorHAnsi"/>
          <w:vertAlign w:val="superscript"/>
          <w:lang w:val="en-IN" w:eastAsia="en-IN"/>
        </w:rPr>
        <w:t>+</w:t>
      </w:r>
      <w:r w:rsidRPr="005A3294">
        <w:rPr>
          <w:rFonts w:asciiTheme="minorHAnsi" w:eastAsia="Times New Roman" w:hAnsiTheme="minorHAnsi" w:cstheme="minorHAnsi"/>
          <w:lang w:val="en-IN" w:eastAsia="en-IN"/>
        </w:rPr>
        <w:t>CD38</w:t>
      </w:r>
      <w:r w:rsidRPr="005A3294">
        <w:rPr>
          <w:rFonts w:asciiTheme="minorHAnsi" w:eastAsia="Times New Roman" w:hAnsiTheme="minorHAnsi" w:cstheme="minorHAnsi"/>
          <w:vertAlign w:val="superscript"/>
          <w:lang w:val="en-IN" w:eastAsia="en-IN"/>
        </w:rPr>
        <w:t>−</w:t>
      </w:r>
      <w:r w:rsidRPr="005A3294">
        <w:rPr>
          <w:rFonts w:asciiTheme="minorHAnsi" w:eastAsia="Times New Roman" w:hAnsiTheme="minorHAnsi" w:cstheme="minorHAnsi"/>
          <w:lang w:val="en-IN" w:eastAsia="en-IN"/>
        </w:rPr>
        <w:t>) in MNC CD34</w:t>
      </w:r>
      <w:r w:rsidRPr="005A3294">
        <w:rPr>
          <w:rFonts w:asciiTheme="minorHAnsi" w:eastAsia="Times New Roman" w:hAnsiTheme="minorHAnsi" w:cstheme="minorHAnsi"/>
          <w:vertAlign w:val="superscript"/>
          <w:lang w:val="en-IN" w:eastAsia="en-IN"/>
        </w:rPr>
        <w:t>+</w:t>
      </w:r>
      <w:r w:rsidRPr="005A3294">
        <w:rPr>
          <w:rFonts w:asciiTheme="minorHAnsi" w:eastAsia="Times New Roman" w:hAnsiTheme="minorHAnsi" w:cstheme="minorHAnsi"/>
          <w:lang w:val="en-IN" w:eastAsia="en-IN"/>
        </w:rPr>
        <w:t xml:space="preserve"> (orange), P7 (CD34</w:t>
      </w:r>
      <w:r w:rsidRPr="005A3294">
        <w:rPr>
          <w:rFonts w:asciiTheme="minorHAnsi" w:eastAsia="Times New Roman" w:hAnsiTheme="minorHAnsi" w:cstheme="minorHAnsi"/>
          <w:vertAlign w:val="superscript"/>
          <w:lang w:val="en-IN" w:eastAsia="en-IN"/>
        </w:rPr>
        <w:t>+</w:t>
      </w:r>
      <w:r w:rsidRPr="005A3294">
        <w:rPr>
          <w:rFonts w:asciiTheme="minorHAnsi" w:eastAsia="Times New Roman" w:hAnsiTheme="minorHAnsi" w:cstheme="minorHAnsi"/>
          <w:lang w:val="en-IN" w:eastAsia="en-IN"/>
        </w:rPr>
        <w:t>CD38</w:t>
      </w:r>
      <w:r w:rsidRPr="005A3294">
        <w:rPr>
          <w:rFonts w:asciiTheme="minorHAnsi" w:eastAsia="Times New Roman" w:hAnsiTheme="minorHAnsi" w:cstheme="minorHAnsi"/>
          <w:vertAlign w:val="superscript"/>
          <w:lang w:val="en-IN" w:eastAsia="en-IN"/>
        </w:rPr>
        <w:t>low</w:t>
      </w:r>
      <w:r w:rsidRPr="005A3294">
        <w:rPr>
          <w:rFonts w:asciiTheme="minorHAnsi" w:eastAsia="Times New Roman" w:hAnsiTheme="minorHAnsi" w:cstheme="minorHAnsi"/>
          <w:lang w:val="en-IN" w:eastAsia="en-IN"/>
        </w:rPr>
        <w:t>) in MNC CD34</w:t>
      </w:r>
      <w:r w:rsidRPr="005A3294">
        <w:rPr>
          <w:rFonts w:asciiTheme="minorHAnsi" w:eastAsia="Times New Roman" w:hAnsiTheme="minorHAnsi" w:cstheme="minorHAnsi"/>
          <w:vertAlign w:val="superscript"/>
          <w:lang w:val="en-IN" w:eastAsia="en-IN"/>
        </w:rPr>
        <w:t>+</w:t>
      </w:r>
      <w:r w:rsidRPr="005A3294">
        <w:rPr>
          <w:rFonts w:asciiTheme="minorHAnsi" w:eastAsia="Times New Roman" w:hAnsiTheme="minorHAnsi" w:cstheme="minorHAnsi"/>
          <w:lang w:val="en-IN" w:eastAsia="en-IN"/>
        </w:rPr>
        <w:t xml:space="preserve"> (green), and P8 (CD34</w:t>
      </w:r>
      <w:r w:rsidRPr="005A3294">
        <w:rPr>
          <w:rFonts w:asciiTheme="minorHAnsi" w:eastAsia="Times New Roman" w:hAnsiTheme="minorHAnsi" w:cstheme="minorHAnsi"/>
          <w:vertAlign w:val="superscript"/>
          <w:lang w:val="en-IN" w:eastAsia="en-IN"/>
        </w:rPr>
        <w:t>+</w:t>
      </w:r>
      <w:r w:rsidRPr="005A3294">
        <w:rPr>
          <w:rFonts w:asciiTheme="minorHAnsi" w:eastAsia="Times New Roman" w:hAnsiTheme="minorHAnsi" w:cstheme="minorHAnsi"/>
          <w:lang w:val="en-IN" w:eastAsia="en-IN"/>
        </w:rPr>
        <w:t>CD38</w:t>
      </w:r>
      <w:r w:rsidRPr="005A3294">
        <w:rPr>
          <w:rFonts w:asciiTheme="minorHAnsi" w:eastAsia="Times New Roman" w:hAnsiTheme="minorHAnsi" w:cstheme="minorHAnsi"/>
          <w:vertAlign w:val="superscript"/>
          <w:lang w:val="en-IN" w:eastAsia="en-IN"/>
        </w:rPr>
        <w:t>high</w:t>
      </w:r>
      <w:r w:rsidRPr="005A3294">
        <w:rPr>
          <w:rFonts w:asciiTheme="minorHAnsi" w:eastAsia="Times New Roman" w:hAnsiTheme="minorHAnsi" w:cstheme="minorHAnsi"/>
          <w:lang w:val="en-IN" w:eastAsia="en-IN"/>
        </w:rPr>
        <w:t>) in MNC CD34</w:t>
      </w:r>
      <w:r w:rsidRPr="005A3294">
        <w:rPr>
          <w:rFonts w:asciiTheme="minorHAnsi" w:eastAsia="Times New Roman" w:hAnsiTheme="minorHAnsi" w:cstheme="minorHAnsi"/>
          <w:vertAlign w:val="superscript"/>
          <w:lang w:val="en-IN" w:eastAsia="en-IN"/>
        </w:rPr>
        <w:t>+</w:t>
      </w:r>
      <w:r w:rsidRPr="005A3294">
        <w:rPr>
          <w:rFonts w:asciiTheme="minorHAnsi" w:eastAsia="Times New Roman" w:hAnsiTheme="minorHAnsi" w:cstheme="minorHAnsi"/>
          <w:lang w:val="en-IN" w:eastAsia="en-IN"/>
        </w:rPr>
        <w:t xml:space="preserve"> (blue). Principal component analysis (PCA) shows the distribution of progenitor populations among healthy donor, inflammatory, and regenerating bone marrow samples. The accompanying table shows the mean values observed for each population in healthy donor (n = 25), inflammatory (n = 34), and regenerating bone marrow (n = 76) samples.</w:t>
      </w:r>
    </w:p>
    <w:p w14:paraId="1778000F" w14:textId="5B8F8721" w:rsidR="00C63251" w:rsidRPr="007862B0" w:rsidRDefault="00C63251">
      <w:pPr>
        <w:widowControl/>
        <w:spacing w:after="160" w:line="259" w:lineRule="auto"/>
        <w:jc w:val="left"/>
        <w:rPr>
          <w:rFonts w:asciiTheme="minorHAnsi" w:hAnsiTheme="minorHAnsi" w:cstheme="minorHAnsi"/>
          <w:b/>
        </w:rPr>
      </w:pPr>
      <w:r w:rsidRPr="007862B0">
        <w:rPr>
          <w:rFonts w:asciiTheme="minorHAnsi" w:hAnsiTheme="minorHAnsi" w:cstheme="minorHAnsi"/>
          <w:b/>
        </w:rPr>
        <w:br w:type="page"/>
      </w:r>
    </w:p>
    <w:p w14:paraId="55F6D5CD" w14:textId="39EEC69F" w:rsidR="0019001A" w:rsidRPr="007862B0" w:rsidRDefault="0019001A">
      <w:pPr>
        <w:rPr>
          <w:rFonts w:asciiTheme="minorHAnsi" w:hAnsiTheme="minorHAnsi" w:cstheme="minorHAnsi"/>
          <w:b/>
        </w:rPr>
      </w:pPr>
    </w:p>
    <w:p w14:paraId="7974FD46" w14:textId="77777777" w:rsidR="0019001A" w:rsidRPr="007862B0" w:rsidRDefault="0019001A">
      <w:pPr>
        <w:rPr>
          <w:rFonts w:asciiTheme="minorHAnsi" w:hAnsiTheme="minorHAnsi" w:cstheme="minorHAnsi"/>
          <w:b/>
        </w:rPr>
      </w:pPr>
    </w:p>
    <w:p w14:paraId="18256489" w14:textId="77777777" w:rsidR="006900E7" w:rsidRPr="007862B0" w:rsidRDefault="006900E7">
      <w:pPr>
        <w:rPr>
          <w:rFonts w:asciiTheme="minorHAnsi" w:hAnsiTheme="minorHAnsi" w:cstheme="minorHAnsi"/>
          <w:b/>
        </w:rPr>
      </w:pPr>
      <w:r w:rsidRPr="007862B0">
        <w:rPr>
          <w:rFonts w:asciiTheme="minorHAnsi" w:hAnsiTheme="minorHAnsi" w:cstheme="minorHAnsi"/>
          <w:b/>
          <w:noProof/>
          <w:lang w:val="fr-FR" w:eastAsia="fr-FR"/>
        </w:rPr>
        <w:drawing>
          <wp:inline distT="0" distB="0" distL="0" distR="0" wp14:anchorId="3A8606BC" wp14:editId="42BD20F4">
            <wp:extent cx="5760720" cy="3240405"/>
            <wp:effectExtent l="0" t="0" r="0" b="0"/>
            <wp:docPr id="82" name="Imag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Fig 18JOVE.jpg"/>
                    <pic:cNvPicPr/>
                  </pic:nvPicPr>
                  <pic:blipFill>
                    <a:blip r:embed="rId18">
                      <a:extLst>
                        <a:ext uri="{28A0092B-C50C-407E-A947-70E740481C1C}">
                          <a14:useLocalDpi xmlns:a14="http://schemas.microsoft.com/office/drawing/2010/main" val="0"/>
                        </a:ext>
                      </a:extLst>
                    </a:blip>
                    <a:stretch>
                      <a:fillRect/>
                    </a:stretch>
                  </pic:blipFill>
                  <pic:spPr>
                    <a:xfrm>
                      <a:off x="0" y="0"/>
                      <a:ext cx="5760720" cy="3240405"/>
                    </a:xfrm>
                    <a:prstGeom prst="rect">
                      <a:avLst/>
                    </a:prstGeom>
                  </pic:spPr>
                </pic:pic>
              </a:graphicData>
            </a:graphic>
          </wp:inline>
        </w:drawing>
      </w:r>
    </w:p>
    <w:p w14:paraId="6D8EAA38" w14:textId="77777777" w:rsidR="0019001A" w:rsidRPr="007862B0" w:rsidRDefault="0019001A">
      <w:pPr>
        <w:rPr>
          <w:rFonts w:asciiTheme="minorHAnsi" w:hAnsiTheme="minorHAnsi" w:cstheme="minorHAnsi"/>
          <w:b/>
        </w:rPr>
      </w:pPr>
    </w:p>
    <w:p w14:paraId="15250701" w14:textId="77777777" w:rsidR="006900E7" w:rsidRPr="007862B0" w:rsidRDefault="006900E7">
      <w:pPr>
        <w:rPr>
          <w:rFonts w:asciiTheme="minorHAnsi" w:hAnsiTheme="minorHAnsi" w:cstheme="minorHAnsi"/>
          <w:b/>
        </w:rPr>
      </w:pPr>
    </w:p>
    <w:p w14:paraId="0222C892" w14:textId="4C0AACE6" w:rsidR="00FC4BA1" w:rsidRPr="007862B0" w:rsidRDefault="00061D8A">
      <w:pPr>
        <w:widowControl/>
        <w:spacing w:after="160" w:line="259" w:lineRule="auto"/>
        <w:jc w:val="left"/>
        <w:rPr>
          <w:rFonts w:asciiTheme="minorHAnsi" w:hAnsiTheme="minorHAnsi" w:cstheme="minorHAnsi"/>
          <w:sz w:val="22"/>
          <w:szCs w:val="22"/>
        </w:rPr>
      </w:pPr>
      <w:r>
        <w:rPr>
          <w:rStyle w:val="Strong"/>
        </w:rPr>
        <w:t xml:space="preserve">Supplemental Figure S7: Longitudinal platform and panel evolution in the </w:t>
      </w:r>
      <w:proofErr w:type="spellStart"/>
      <w:r>
        <w:rPr>
          <w:rStyle w:val="Strong"/>
        </w:rPr>
        <w:t>LabFlow</w:t>
      </w:r>
      <w:proofErr w:type="spellEnd"/>
      <w:r>
        <w:rPr>
          <w:rStyle w:val="Strong"/>
        </w:rPr>
        <w:t xml:space="preserve"> network.</w:t>
      </w:r>
      <w:r>
        <w:t xml:space="preserve"> The figure summarizes the longitudinal evolution of clinical cytometers in the </w:t>
      </w:r>
      <w:proofErr w:type="spellStart"/>
      <w:r>
        <w:t>LabFlow</w:t>
      </w:r>
      <w:proofErr w:type="spellEnd"/>
      <w:r>
        <w:t xml:space="preserve"> network and the adjustment of instrument settings using standardization, harmonization, and optimization methods. Migration from 8-color to 12-color panels increased specificity for LAIP detection and improved interpretation by adding cleanup markers that help eliminate cells contaminating the MRD gate. This increase in marker number also increased analysis complexity, as a 13-parameter tube requires review of 78 bivariate histograms.</w:t>
      </w:r>
      <w:r w:rsidR="00FC4BA1" w:rsidRPr="007862B0">
        <w:rPr>
          <w:rFonts w:asciiTheme="minorHAnsi" w:hAnsiTheme="minorHAnsi" w:cstheme="minorHAnsi"/>
          <w:sz w:val="22"/>
          <w:szCs w:val="22"/>
        </w:rPr>
        <w:br w:type="page"/>
      </w:r>
    </w:p>
    <w:p w14:paraId="754D32BB" w14:textId="298084ED" w:rsidR="006900E7" w:rsidRPr="007862B0" w:rsidRDefault="006900E7">
      <w:pPr>
        <w:rPr>
          <w:rFonts w:asciiTheme="minorHAnsi" w:hAnsiTheme="minorHAnsi" w:cstheme="minorHAnsi"/>
          <w:b/>
        </w:rPr>
      </w:pPr>
    </w:p>
    <w:p w14:paraId="2DA02D07" w14:textId="77777777" w:rsidR="006900E7" w:rsidRPr="007862B0" w:rsidRDefault="006900E7">
      <w:pPr>
        <w:rPr>
          <w:rFonts w:asciiTheme="minorHAnsi" w:hAnsiTheme="minorHAnsi" w:cstheme="minorHAnsi"/>
          <w:b/>
        </w:rPr>
      </w:pPr>
    </w:p>
    <w:p w14:paraId="74EC35CA" w14:textId="77777777" w:rsidR="006900E7" w:rsidRPr="007862B0" w:rsidRDefault="003A15E7">
      <w:pPr>
        <w:rPr>
          <w:rFonts w:asciiTheme="minorHAnsi" w:hAnsiTheme="minorHAnsi" w:cstheme="minorHAnsi"/>
          <w:b/>
        </w:rPr>
      </w:pPr>
      <w:r w:rsidRPr="007862B0">
        <w:rPr>
          <w:rFonts w:asciiTheme="minorHAnsi" w:hAnsiTheme="minorHAnsi" w:cstheme="minorHAnsi"/>
          <w:b/>
          <w:noProof/>
          <w:lang w:val="fr-FR" w:eastAsia="fr-FR"/>
        </w:rPr>
        <w:drawing>
          <wp:inline distT="0" distB="0" distL="0" distR="0" wp14:anchorId="6CA6157E" wp14:editId="50953182">
            <wp:extent cx="5187635" cy="2918045"/>
            <wp:effectExtent l="0" t="0" r="0" b="0"/>
            <wp:docPr id="85" name="Imag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Fig 19 JOVE.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194946" cy="2922157"/>
                    </a:xfrm>
                    <a:prstGeom prst="rect">
                      <a:avLst/>
                    </a:prstGeom>
                  </pic:spPr>
                </pic:pic>
              </a:graphicData>
            </a:graphic>
          </wp:inline>
        </w:drawing>
      </w:r>
    </w:p>
    <w:p w14:paraId="24D874D4" w14:textId="77777777" w:rsidR="006900E7" w:rsidRPr="007862B0" w:rsidRDefault="006900E7">
      <w:pPr>
        <w:rPr>
          <w:rFonts w:asciiTheme="minorHAnsi" w:hAnsiTheme="minorHAnsi" w:cstheme="minorHAnsi"/>
          <w:b/>
        </w:rPr>
      </w:pPr>
    </w:p>
    <w:p w14:paraId="5FF2AE4D" w14:textId="3ED48FF8" w:rsidR="00290476" w:rsidRPr="007862B0" w:rsidRDefault="00E073E0">
      <w:pPr>
        <w:widowControl/>
        <w:spacing w:after="160" w:line="259" w:lineRule="auto"/>
        <w:jc w:val="left"/>
        <w:rPr>
          <w:rFonts w:asciiTheme="minorHAnsi" w:hAnsiTheme="minorHAnsi" w:cstheme="minorHAnsi"/>
          <w:sz w:val="22"/>
          <w:szCs w:val="22"/>
        </w:rPr>
      </w:pPr>
      <w:r>
        <w:rPr>
          <w:rStyle w:val="Strong"/>
        </w:rPr>
        <w:t>Supplemental Figure S8: Example of platform-specific panel optimization.</w:t>
      </w:r>
      <w:r>
        <w:t xml:space="preserve"> The figure shows an example of optimization using a panel adapted to each platform, comparing a 12-color Lyric panel with a 12-color </w:t>
      </w:r>
      <w:proofErr w:type="spellStart"/>
      <w:r>
        <w:t>DxFlex</w:t>
      </w:r>
      <w:proofErr w:type="spellEnd"/>
      <w:r>
        <w:t xml:space="preserve"> panel. Optimization preserved the staining index and improved specificity through the inclusion of cleanup markers, such as CD36, to reduce contamination of the MRD gate.</w:t>
      </w:r>
      <w:r w:rsidR="00290476" w:rsidRPr="007862B0">
        <w:rPr>
          <w:rFonts w:asciiTheme="minorHAnsi" w:hAnsiTheme="minorHAnsi" w:cstheme="minorHAnsi"/>
          <w:sz w:val="22"/>
          <w:szCs w:val="22"/>
        </w:rPr>
        <w:br w:type="page"/>
      </w:r>
    </w:p>
    <w:p w14:paraId="7C15A041" w14:textId="6273CD08" w:rsidR="00290476" w:rsidRPr="007862B0" w:rsidRDefault="00290476" w:rsidP="00290476">
      <w:pPr>
        <w:rPr>
          <w:rFonts w:asciiTheme="minorHAnsi" w:hAnsiTheme="minorHAnsi" w:cstheme="minorHAnsi"/>
          <w:b/>
        </w:rPr>
      </w:pPr>
    </w:p>
    <w:p w14:paraId="64B1C71C" w14:textId="77777777" w:rsidR="00290476" w:rsidRPr="007862B0" w:rsidRDefault="00290476" w:rsidP="00290476">
      <w:pPr>
        <w:rPr>
          <w:rFonts w:asciiTheme="minorHAnsi" w:hAnsiTheme="minorHAnsi" w:cstheme="minorHAnsi"/>
          <w:b/>
        </w:rPr>
      </w:pPr>
    </w:p>
    <w:p w14:paraId="133073C9" w14:textId="77777777" w:rsidR="00290476" w:rsidRPr="007862B0" w:rsidRDefault="00290476" w:rsidP="00290476">
      <w:pPr>
        <w:rPr>
          <w:rFonts w:asciiTheme="minorHAnsi" w:hAnsiTheme="minorHAnsi" w:cstheme="minorHAnsi"/>
          <w:b/>
        </w:rPr>
      </w:pPr>
      <w:r w:rsidRPr="007862B0">
        <w:rPr>
          <w:rFonts w:asciiTheme="minorHAnsi" w:hAnsiTheme="minorHAnsi" w:cstheme="minorHAnsi"/>
          <w:b/>
          <w:noProof/>
          <w:lang w:val="fr-FR" w:eastAsia="fr-FR"/>
        </w:rPr>
        <w:drawing>
          <wp:inline distT="0" distB="0" distL="0" distR="0" wp14:anchorId="552DE9BA" wp14:editId="6D563401">
            <wp:extent cx="5760720" cy="3239770"/>
            <wp:effectExtent l="0" t="0" r="0" b="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760720" cy="3239770"/>
                    </a:xfrm>
                    <a:prstGeom prst="rect">
                      <a:avLst/>
                    </a:prstGeom>
                  </pic:spPr>
                </pic:pic>
              </a:graphicData>
            </a:graphic>
          </wp:inline>
        </w:drawing>
      </w:r>
    </w:p>
    <w:p w14:paraId="44D6AE1A" w14:textId="2CF4DEA0" w:rsidR="00290476" w:rsidRDefault="00A8735A" w:rsidP="00A8735A">
      <w:r>
        <w:rPr>
          <w:rStyle w:val="Strong"/>
        </w:rPr>
        <w:t>Supplemental Figure S9: Prognostic threshold for LSC quantification at diagnosis.</w:t>
      </w:r>
      <w:r>
        <w:t xml:space="preserve"> The ROC curve (left) was used to determine the LSC clinical threshold at diagnosis with prognostic significance. A threshold of 1% LSCs among CD45/SSC blasts was evaluated. Survival curves show disease-free survival (DFS) and overall survival (OS) according to the 1% LSC threshold.</w:t>
      </w:r>
    </w:p>
    <w:p w14:paraId="77B076D4" w14:textId="77777777" w:rsidR="005A3294" w:rsidRDefault="005A3294" w:rsidP="00A8735A"/>
    <w:p w14:paraId="6B3E61B5" w14:textId="77777777" w:rsidR="005A3294" w:rsidRDefault="005A3294" w:rsidP="00A8735A"/>
    <w:p w14:paraId="0C552795" w14:textId="77777777" w:rsidR="005A3294" w:rsidRDefault="005A3294" w:rsidP="00A8735A"/>
    <w:p w14:paraId="4F23DAC4" w14:textId="77777777" w:rsidR="005A3294" w:rsidRDefault="005A3294" w:rsidP="00A8735A"/>
    <w:p w14:paraId="7EBCB91F" w14:textId="77777777" w:rsidR="005A3294" w:rsidRDefault="005A3294" w:rsidP="00A8735A"/>
    <w:p w14:paraId="6CF2F71C" w14:textId="77777777" w:rsidR="005A3294" w:rsidRDefault="005A3294" w:rsidP="00A8735A"/>
    <w:p w14:paraId="3066FEE6" w14:textId="77777777" w:rsidR="005A3294" w:rsidRDefault="005A3294" w:rsidP="00A8735A"/>
    <w:p w14:paraId="0BA2074B" w14:textId="77777777" w:rsidR="005A3294" w:rsidRDefault="005A3294" w:rsidP="00A8735A"/>
    <w:p w14:paraId="7A1402EE" w14:textId="77777777" w:rsidR="005A3294" w:rsidRDefault="005A3294" w:rsidP="00A8735A"/>
    <w:p w14:paraId="4F6B4018" w14:textId="77777777" w:rsidR="005A3294" w:rsidRDefault="005A3294" w:rsidP="00A8735A"/>
    <w:p w14:paraId="2BE15996" w14:textId="77777777" w:rsidR="005A3294" w:rsidRDefault="005A3294" w:rsidP="00A8735A"/>
    <w:p w14:paraId="6D224989" w14:textId="77777777" w:rsidR="005A3294" w:rsidRDefault="005A3294" w:rsidP="00A8735A"/>
    <w:p w14:paraId="62EAAFDD" w14:textId="77777777" w:rsidR="005A3294" w:rsidRDefault="005A3294" w:rsidP="00A8735A"/>
    <w:p w14:paraId="4E75207E" w14:textId="77777777" w:rsidR="005A3294" w:rsidRDefault="005A3294" w:rsidP="00A8735A"/>
    <w:p w14:paraId="1D654ED3" w14:textId="77777777" w:rsidR="005A3294" w:rsidRDefault="005A3294" w:rsidP="00A8735A"/>
    <w:p w14:paraId="1EE25263" w14:textId="77777777" w:rsidR="005A3294" w:rsidRDefault="005A3294" w:rsidP="00A8735A"/>
    <w:p w14:paraId="11FE01B4" w14:textId="77777777" w:rsidR="005A3294" w:rsidRDefault="005A3294" w:rsidP="00A8735A"/>
    <w:p w14:paraId="44A1406C" w14:textId="77777777" w:rsidR="005A3294" w:rsidRDefault="005A3294" w:rsidP="00A8735A"/>
    <w:p w14:paraId="70C2071C" w14:textId="77777777" w:rsidR="005A3294" w:rsidRDefault="005A3294" w:rsidP="00A8735A"/>
    <w:p w14:paraId="7BA27C24" w14:textId="77777777" w:rsidR="005A3294" w:rsidRDefault="005A3294" w:rsidP="00A8735A"/>
    <w:p w14:paraId="352368AA" w14:textId="77777777" w:rsidR="005A3294" w:rsidRDefault="005A3294" w:rsidP="00A8735A"/>
    <w:p w14:paraId="1B10C41D" w14:textId="77777777" w:rsidR="005A3294" w:rsidRDefault="005A3294" w:rsidP="00A8735A"/>
    <w:p w14:paraId="55B65B52" w14:textId="77777777" w:rsidR="005A3294" w:rsidRDefault="005A3294" w:rsidP="00A8735A"/>
    <w:p w14:paraId="01AF9256" w14:textId="77777777" w:rsidR="005A3294" w:rsidRDefault="005A3294" w:rsidP="00A8735A"/>
    <w:p w14:paraId="1E58D029" w14:textId="53C7653E" w:rsidR="005A3294" w:rsidRDefault="005A3294" w:rsidP="00A8735A">
      <w:pPr>
        <w:rPr>
          <w:rFonts w:asciiTheme="minorHAnsi" w:hAnsiTheme="minorHAnsi" w:cstheme="minorHAnsi"/>
          <w:sz w:val="22"/>
          <w:szCs w:val="22"/>
        </w:rPr>
      </w:pPr>
      <w:r>
        <w:rPr>
          <w:rFonts w:asciiTheme="minorHAnsi" w:hAnsiTheme="minorHAnsi" w:cstheme="minorHAnsi"/>
          <w:noProof/>
          <w:sz w:val="22"/>
          <w:szCs w:val="22"/>
        </w:rPr>
        <w:lastRenderedPageBreak/>
        <w:drawing>
          <wp:inline distT="0" distB="0" distL="0" distR="0" wp14:anchorId="2383D225" wp14:editId="5E57C02E">
            <wp:extent cx="5966178" cy="2743200"/>
            <wp:effectExtent l="0" t="0" r="0" b="0"/>
            <wp:docPr id="95181295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1812953" name="Picture 951812953"/>
                    <pic:cNvPicPr/>
                  </pic:nvPicPr>
                  <pic:blipFill rotWithShape="1">
                    <a:blip r:embed="rId21">
                      <a:extLst>
                        <a:ext uri="{28A0092B-C50C-407E-A947-70E740481C1C}">
                          <a14:useLocalDpi xmlns:a14="http://schemas.microsoft.com/office/drawing/2010/main" val="0"/>
                        </a:ext>
                      </a:extLst>
                    </a:blip>
                    <a:srcRect b="18259"/>
                    <a:stretch>
                      <a:fillRect/>
                    </a:stretch>
                  </pic:blipFill>
                  <pic:spPr bwMode="auto">
                    <a:xfrm>
                      <a:off x="0" y="0"/>
                      <a:ext cx="5971095" cy="2745461"/>
                    </a:xfrm>
                    <a:prstGeom prst="rect">
                      <a:avLst/>
                    </a:prstGeom>
                    <a:ln>
                      <a:noFill/>
                    </a:ln>
                    <a:extLst>
                      <a:ext uri="{53640926-AAD7-44D8-BBD7-CCE9431645EC}">
                        <a14:shadowObscured xmlns:a14="http://schemas.microsoft.com/office/drawing/2010/main"/>
                      </a:ext>
                    </a:extLst>
                  </pic:spPr>
                </pic:pic>
              </a:graphicData>
            </a:graphic>
          </wp:inline>
        </w:drawing>
      </w:r>
    </w:p>
    <w:p w14:paraId="05A146B3" w14:textId="4A0847B2" w:rsidR="005A3294" w:rsidRPr="005A3294" w:rsidRDefault="005A3294" w:rsidP="005A3294">
      <w:pPr>
        <w:rPr>
          <w:rFonts w:asciiTheme="minorHAnsi" w:hAnsiTheme="minorHAnsi" w:cstheme="minorHAnsi"/>
        </w:rPr>
      </w:pPr>
      <w:r w:rsidRPr="005A3294">
        <w:rPr>
          <w:rStyle w:val="Strong"/>
          <w:rFonts w:asciiTheme="minorHAnsi" w:hAnsiTheme="minorHAnsi" w:cstheme="minorHAnsi"/>
        </w:rPr>
        <w:t>Supplemental Figure S</w:t>
      </w:r>
      <w:r w:rsidRPr="005A3294">
        <w:rPr>
          <w:rStyle w:val="Strong"/>
          <w:rFonts w:asciiTheme="minorHAnsi" w:hAnsiTheme="minorHAnsi" w:cstheme="minorHAnsi"/>
        </w:rPr>
        <w:t>10</w:t>
      </w:r>
      <w:r w:rsidRPr="005A3294">
        <w:rPr>
          <w:rStyle w:val="Strong"/>
          <w:rFonts w:asciiTheme="minorHAnsi" w:hAnsiTheme="minorHAnsi" w:cstheme="minorHAnsi"/>
        </w:rPr>
        <w:t xml:space="preserve">: </w:t>
      </w:r>
      <w:r w:rsidRPr="005A3294">
        <w:rPr>
          <w:rStyle w:val="Strong"/>
          <w:rFonts w:asciiTheme="minorHAnsi" w:hAnsiTheme="minorHAnsi" w:cstheme="minorHAnsi"/>
        </w:rPr>
        <w:t>Bone marrow smear</w:t>
      </w:r>
      <w:r w:rsidRPr="005A3294">
        <w:rPr>
          <w:rStyle w:val="Strong"/>
          <w:rFonts w:asciiTheme="minorHAnsi" w:hAnsiTheme="minorHAnsi" w:cstheme="minorHAnsi"/>
        </w:rPr>
        <w:t>.</w:t>
      </w:r>
      <w:r w:rsidRPr="005A3294">
        <w:rPr>
          <w:rFonts w:asciiTheme="minorHAnsi" w:hAnsiTheme="minorHAnsi" w:cstheme="minorHAnsi"/>
        </w:rPr>
        <w:t xml:space="preserve"> </w:t>
      </w:r>
      <w:r w:rsidRPr="005A3294">
        <w:rPr>
          <w:rFonts w:asciiTheme="minorHAnsi" w:eastAsia="Times New Roman" w:hAnsiTheme="minorHAnsi" w:cstheme="minorHAnsi"/>
          <w:lang w:val="en-IN" w:eastAsia="en-IN"/>
        </w:rPr>
        <w:t>(</w:t>
      </w:r>
      <w:r w:rsidRPr="005A3294">
        <w:rPr>
          <w:rFonts w:asciiTheme="minorHAnsi" w:eastAsia="Times New Roman" w:hAnsiTheme="minorHAnsi" w:cstheme="minorHAnsi"/>
          <w:b/>
          <w:bCs/>
          <w:lang w:val="en-IN" w:eastAsia="en-IN"/>
        </w:rPr>
        <w:t>A</w:t>
      </w:r>
      <w:r w:rsidRPr="005A3294">
        <w:rPr>
          <w:rFonts w:asciiTheme="minorHAnsi" w:eastAsia="Times New Roman" w:hAnsiTheme="minorHAnsi" w:cstheme="minorHAnsi"/>
          <w:lang w:val="en-IN" w:eastAsia="en-IN"/>
        </w:rPr>
        <w:t>)</w:t>
      </w:r>
      <w:r w:rsidRPr="005A3294">
        <w:rPr>
          <w:rFonts w:asciiTheme="minorHAnsi" w:eastAsia="Times New Roman" w:hAnsiTheme="minorHAnsi" w:cstheme="minorHAnsi"/>
          <w:lang w:val="en-IN" w:eastAsia="en-IN"/>
        </w:rPr>
        <w:t xml:space="preserve"> Healthy regenerating marrow and (</w:t>
      </w:r>
      <w:r w:rsidRPr="005A3294">
        <w:rPr>
          <w:rFonts w:asciiTheme="minorHAnsi" w:eastAsia="Times New Roman" w:hAnsiTheme="minorHAnsi" w:cstheme="minorHAnsi"/>
          <w:b/>
          <w:bCs/>
          <w:lang w:val="en-IN" w:eastAsia="en-IN"/>
        </w:rPr>
        <w:t>B</w:t>
      </w:r>
      <w:r w:rsidRPr="005A3294">
        <w:rPr>
          <w:rFonts w:asciiTheme="minorHAnsi" w:eastAsia="Times New Roman" w:hAnsiTheme="minorHAnsi" w:cstheme="minorHAnsi"/>
          <w:lang w:val="en-IN" w:eastAsia="en-IN"/>
        </w:rPr>
        <w:t>) AML patient (AML2 subtype). May-Grunwald-Giemsa 100x magnification.</w:t>
      </w:r>
    </w:p>
    <w:p w14:paraId="7FCDC35A" w14:textId="77777777" w:rsidR="005A3294" w:rsidRPr="007862B0" w:rsidRDefault="005A3294" w:rsidP="00A8735A">
      <w:pPr>
        <w:rPr>
          <w:rFonts w:asciiTheme="minorHAnsi" w:hAnsiTheme="minorHAnsi" w:cstheme="minorHAnsi"/>
          <w:sz w:val="22"/>
          <w:szCs w:val="22"/>
        </w:rPr>
      </w:pPr>
    </w:p>
    <w:sectPr w:rsidR="005A3294" w:rsidRPr="007862B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C1D97"/>
    <w:multiLevelType w:val="hybridMultilevel"/>
    <w:tmpl w:val="F3A473F8"/>
    <w:lvl w:ilvl="0" w:tplc="F2240A28">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3662126E"/>
    <w:multiLevelType w:val="hybridMultilevel"/>
    <w:tmpl w:val="2C66C1D6"/>
    <w:lvl w:ilvl="0" w:tplc="4328E89C">
      <w:numFmt w:val="bullet"/>
      <w:lvlText w:val="-"/>
      <w:lvlJc w:val="left"/>
      <w:pPr>
        <w:ind w:left="720" w:hanging="360"/>
      </w:pPr>
      <w:rPr>
        <w:rFonts w:ascii="Calibri" w:eastAsia="Calibri"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4E945BC4"/>
    <w:multiLevelType w:val="hybridMultilevel"/>
    <w:tmpl w:val="321606BC"/>
    <w:lvl w:ilvl="0" w:tplc="5C42B74A">
      <w:start w:val="1"/>
      <w:numFmt w:val="upperLetter"/>
      <w:lvlText w:val="%1)"/>
      <w:lvlJc w:val="left"/>
      <w:pPr>
        <w:ind w:left="720" w:hanging="360"/>
      </w:pPr>
      <w:rPr>
        <w:rFonts w:ascii="Arial Narrow" w:hAnsi="Arial Narrow" w:hint="default"/>
        <w:sz w:val="22"/>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77804829"/>
    <w:multiLevelType w:val="hybridMultilevel"/>
    <w:tmpl w:val="476691F4"/>
    <w:lvl w:ilvl="0" w:tplc="068EBD72">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566762441">
    <w:abstractNumId w:val="1"/>
  </w:num>
  <w:num w:numId="2" w16cid:durableId="233249250">
    <w:abstractNumId w:val="2"/>
  </w:num>
  <w:num w:numId="3" w16cid:durableId="823665901">
    <w:abstractNumId w:val="0"/>
  </w:num>
  <w:num w:numId="4" w16cid:durableId="68868408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40F6"/>
    <w:rsid w:val="0000445A"/>
    <w:rsid w:val="000151AB"/>
    <w:rsid w:val="000460C5"/>
    <w:rsid w:val="00061D8A"/>
    <w:rsid w:val="00062909"/>
    <w:rsid w:val="00065ED4"/>
    <w:rsid w:val="00066E6A"/>
    <w:rsid w:val="000C0B85"/>
    <w:rsid w:val="000C22FE"/>
    <w:rsid w:val="000C4897"/>
    <w:rsid w:val="000D56A1"/>
    <w:rsid w:val="001006FC"/>
    <w:rsid w:val="001507FE"/>
    <w:rsid w:val="001510BD"/>
    <w:rsid w:val="001627B0"/>
    <w:rsid w:val="0019001A"/>
    <w:rsid w:val="00192780"/>
    <w:rsid w:val="001967CB"/>
    <w:rsid w:val="001A704A"/>
    <w:rsid w:val="001B5F66"/>
    <w:rsid w:val="001E2878"/>
    <w:rsid w:val="00201ED6"/>
    <w:rsid w:val="002134E4"/>
    <w:rsid w:val="00213C0F"/>
    <w:rsid w:val="00222FEC"/>
    <w:rsid w:val="00226940"/>
    <w:rsid w:val="00243969"/>
    <w:rsid w:val="00260BC6"/>
    <w:rsid w:val="002668E2"/>
    <w:rsid w:val="00290476"/>
    <w:rsid w:val="00296169"/>
    <w:rsid w:val="00297B5E"/>
    <w:rsid w:val="002A29F2"/>
    <w:rsid w:val="002A3E13"/>
    <w:rsid w:val="002B1981"/>
    <w:rsid w:val="002C2EC3"/>
    <w:rsid w:val="002C3604"/>
    <w:rsid w:val="002D0E7C"/>
    <w:rsid w:val="002F13C8"/>
    <w:rsid w:val="003041A5"/>
    <w:rsid w:val="003114BD"/>
    <w:rsid w:val="00323345"/>
    <w:rsid w:val="00357F35"/>
    <w:rsid w:val="0036090B"/>
    <w:rsid w:val="00363A04"/>
    <w:rsid w:val="00376F52"/>
    <w:rsid w:val="0038241D"/>
    <w:rsid w:val="003942C6"/>
    <w:rsid w:val="00394A01"/>
    <w:rsid w:val="00397096"/>
    <w:rsid w:val="003A15E7"/>
    <w:rsid w:val="003B1E2E"/>
    <w:rsid w:val="003B475C"/>
    <w:rsid w:val="003B7D75"/>
    <w:rsid w:val="003D1A33"/>
    <w:rsid w:val="003D75BA"/>
    <w:rsid w:val="00436CBB"/>
    <w:rsid w:val="00447243"/>
    <w:rsid w:val="004B3163"/>
    <w:rsid w:val="004B47BA"/>
    <w:rsid w:val="004F620E"/>
    <w:rsid w:val="004F79B5"/>
    <w:rsid w:val="00540E96"/>
    <w:rsid w:val="00547876"/>
    <w:rsid w:val="005550F5"/>
    <w:rsid w:val="00560012"/>
    <w:rsid w:val="00564709"/>
    <w:rsid w:val="00567A66"/>
    <w:rsid w:val="005A3294"/>
    <w:rsid w:val="005D36AF"/>
    <w:rsid w:val="005D6491"/>
    <w:rsid w:val="00610F01"/>
    <w:rsid w:val="0061466E"/>
    <w:rsid w:val="006230A1"/>
    <w:rsid w:val="00636C28"/>
    <w:rsid w:val="006900E7"/>
    <w:rsid w:val="006A79B3"/>
    <w:rsid w:val="006C61B3"/>
    <w:rsid w:val="00701AAF"/>
    <w:rsid w:val="00717ED7"/>
    <w:rsid w:val="007264DD"/>
    <w:rsid w:val="00737075"/>
    <w:rsid w:val="00743278"/>
    <w:rsid w:val="00752147"/>
    <w:rsid w:val="007862B0"/>
    <w:rsid w:val="007D2E38"/>
    <w:rsid w:val="007E67EA"/>
    <w:rsid w:val="0080062B"/>
    <w:rsid w:val="00840809"/>
    <w:rsid w:val="008578E0"/>
    <w:rsid w:val="00860B55"/>
    <w:rsid w:val="00864094"/>
    <w:rsid w:val="00880F97"/>
    <w:rsid w:val="008A0F10"/>
    <w:rsid w:val="008B0025"/>
    <w:rsid w:val="008D230F"/>
    <w:rsid w:val="008D5441"/>
    <w:rsid w:val="008E538B"/>
    <w:rsid w:val="00912F92"/>
    <w:rsid w:val="009462F5"/>
    <w:rsid w:val="00984C94"/>
    <w:rsid w:val="009B40F6"/>
    <w:rsid w:val="009F093B"/>
    <w:rsid w:val="00A03BDD"/>
    <w:rsid w:val="00A124A0"/>
    <w:rsid w:val="00A33AFA"/>
    <w:rsid w:val="00A367DC"/>
    <w:rsid w:val="00A41D2A"/>
    <w:rsid w:val="00A42144"/>
    <w:rsid w:val="00A568BF"/>
    <w:rsid w:val="00A60568"/>
    <w:rsid w:val="00A641E8"/>
    <w:rsid w:val="00A67122"/>
    <w:rsid w:val="00A67738"/>
    <w:rsid w:val="00A8735A"/>
    <w:rsid w:val="00A9576D"/>
    <w:rsid w:val="00AB5911"/>
    <w:rsid w:val="00AE6654"/>
    <w:rsid w:val="00AF4760"/>
    <w:rsid w:val="00B26184"/>
    <w:rsid w:val="00B65D66"/>
    <w:rsid w:val="00B90DD9"/>
    <w:rsid w:val="00B94D77"/>
    <w:rsid w:val="00BA7104"/>
    <w:rsid w:val="00BB1459"/>
    <w:rsid w:val="00BC4194"/>
    <w:rsid w:val="00BE6DF7"/>
    <w:rsid w:val="00BF0ABE"/>
    <w:rsid w:val="00C137F7"/>
    <w:rsid w:val="00C20E00"/>
    <w:rsid w:val="00C401B2"/>
    <w:rsid w:val="00C41324"/>
    <w:rsid w:val="00C63251"/>
    <w:rsid w:val="00C75662"/>
    <w:rsid w:val="00C871DE"/>
    <w:rsid w:val="00CA5222"/>
    <w:rsid w:val="00CA6D19"/>
    <w:rsid w:val="00CE20AE"/>
    <w:rsid w:val="00D11A89"/>
    <w:rsid w:val="00D316B1"/>
    <w:rsid w:val="00D41F4C"/>
    <w:rsid w:val="00D44792"/>
    <w:rsid w:val="00D63AD7"/>
    <w:rsid w:val="00D661EC"/>
    <w:rsid w:val="00D90598"/>
    <w:rsid w:val="00D921BF"/>
    <w:rsid w:val="00D9590F"/>
    <w:rsid w:val="00DA090F"/>
    <w:rsid w:val="00DF5BEF"/>
    <w:rsid w:val="00E073E0"/>
    <w:rsid w:val="00EC29D9"/>
    <w:rsid w:val="00F0545D"/>
    <w:rsid w:val="00F26618"/>
    <w:rsid w:val="00F563F9"/>
    <w:rsid w:val="00F6401B"/>
    <w:rsid w:val="00F96694"/>
    <w:rsid w:val="00F9718B"/>
    <w:rsid w:val="00FA3831"/>
    <w:rsid w:val="00FA587F"/>
    <w:rsid w:val="00FB0F3D"/>
    <w:rsid w:val="00FB38BE"/>
    <w:rsid w:val="00FC4BA1"/>
    <w:rsid w:val="00FC5E31"/>
    <w:rsid w:val="00FD373B"/>
    <w:rsid w:val="00FD463E"/>
    <w:rsid w:val="00FE72A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64B866"/>
  <w15:chartTrackingRefBased/>
  <w15:docId w15:val="{CAD57228-C8FE-4645-8F41-845233C1CB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B40F6"/>
    <w:pPr>
      <w:widowControl w:val="0"/>
      <w:spacing w:after="0" w:line="240" w:lineRule="auto"/>
      <w:jc w:val="both"/>
    </w:pPr>
    <w:rPr>
      <w:rFonts w:ascii="Calibri" w:eastAsia="Calibri" w:hAnsi="Calibri" w:cs="Calibri"/>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B40F6"/>
    <w:pPr>
      <w:widowControl/>
      <w:spacing w:after="200" w:line="276" w:lineRule="auto"/>
      <w:ind w:left="720"/>
      <w:contextualSpacing/>
      <w:jc w:val="left"/>
    </w:pPr>
    <w:rPr>
      <w:rFonts w:asciiTheme="minorHAnsi" w:eastAsiaTheme="minorHAnsi" w:hAnsiTheme="minorHAnsi" w:cstheme="minorBidi"/>
      <w:sz w:val="22"/>
      <w:szCs w:val="22"/>
    </w:rPr>
  </w:style>
  <w:style w:type="paragraph" w:styleId="NormalWeb">
    <w:name w:val="Normal (Web)"/>
    <w:basedOn w:val="Normal"/>
    <w:uiPriority w:val="99"/>
    <w:semiHidden/>
    <w:unhideWhenUsed/>
    <w:rsid w:val="006230A1"/>
    <w:pPr>
      <w:widowControl/>
      <w:spacing w:before="100" w:beforeAutospacing="1" w:after="100" w:afterAutospacing="1"/>
      <w:jc w:val="left"/>
    </w:pPr>
    <w:rPr>
      <w:rFonts w:ascii="Times New Roman" w:eastAsiaTheme="minorEastAsia" w:hAnsi="Times New Roman" w:cs="Times New Roman"/>
      <w:lang w:val="fr-FR" w:eastAsia="fr-FR"/>
    </w:rPr>
  </w:style>
  <w:style w:type="character" w:styleId="Strong">
    <w:name w:val="Strong"/>
    <w:basedOn w:val="DefaultParagraphFont"/>
    <w:uiPriority w:val="22"/>
    <w:qFormat/>
    <w:rsid w:val="007862B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4631445">
      <w:bodyDiv w:val="1"/>
      <w:marLeft w:val="0"/>
      <w:marRight w:val="0"/>
      <w:marTop w:val="0"/>
      <w:marBottom w:val="0"/>
      <w:divBdr>
        <w:top w:val="none" w:sz="0" w:space="0" w:color="auto"/>
        <w:left w:val="none" w:sz="0" w:space="0" w:color="auto"/>
        <w:bottom w:val="none" w:sz="0" w:space="0" w:color="auto"/>
        <w:right w:val="none" w:sz="0" w:space="0" w:color="auto"/>
      </w:divBdr>
    </w:div>
    <w:div w:id="1170292249">
      <w:bodyDiv w:val="1"/>
      <w:marLeft w:val="0"/>
      <w:marRight w:val="0"/>
      <w:marTop w:val="0"/>
      <w:marBottom w:val="0"/>
      <w:divBdr>
        <w:top w:val="none" w:sz="0" w:space="0" w:color="auto"/>
        <w:left w:val="none" w:sz="0" w:space="0" w:color="auto"/>
        <w:bottom w:val="none" w:sz="0" w:space="0" w:color="auto"/>
        <w:right w:val="none" w:sz="0" w:space="0" w:color="auto"/>
      </w:divBdr>
    </w:div>
    <w:div w:id="1267805782">
      <w:bodyDiv w:val="1"/>
      <w:marLeft w:val="0"/>
      <w:marRight w:val="0"/>
      <w:marTop w:val="0"/>
      <w:marBottom w:val="0"/>
      <w:divBdr>
        <w:top w:val="none" w:sz="0" w:space="0" w:color="auto"/>
        <w:left w:val="none" w:sz="0" w:space="0" w:color="auto"/>
        <w:bottom w:val="none" w:sz="0" w:space="0" w:color="auto"/>
        <w:right w:val="none" w:sz="0" w:space="0" w:color="auto"/>
      </w:divBdr>
    </w:div>
    <w:div w:id="1577855560">
      <w:bodyDiv w:val="1"/>
      <w:marLeft w:val="0"/>
      <w:marRight w:val="0"/>
      <w:marTop w:val="0"/>
      <w:marBottom w:val="0"/>
      <w:divBdr>
        <w:top w:val="none" w:sz="0" w:space="0" w:color="auto"/>
        <w:left w:val="none" w:sz="0" w:space="0" w:color="auto"/>
        <w:bottom w:val="none" w:sz="0" w:space="0" w:color="auto"/>
        <w:right w:val="none" w:sz="0" w:space="0" w:color="auto"/>
      </w:divBdr>
    </w:div>
    <w:div w:id="1685671904">
      <w:bodyDiv w:val="1"/>
      <w:marLeft w:val="0"/>
      <w:marRight w:val="0"/>
      <w:marTop w:val="0"/>
      <w:marBottom w:val="0"/>
      <w:divBdr>
        <w:top w:val="none" w:sz="0" w:space="0" w:color="auto"/>
        <w:left w:val="none" w:sz="0" w:space="0" w:color="auto"/>
        <w:bottom w:val="none" w:sz="0" w:space="0" w:color="auto"/>
        <w:right w:val="none" w:sz="0" w:space="0" w:color="auto"/>
      </w:divBdr>
    </w:div>
    <w:div w:id="1817184169">
      <w:bodyDiv w:val="1"/>
      <w:marLeft w:val="0"/>
      <w:marRight w:val="0"/>
      <w:marTop w:val="0"/>
      <w:marBottom w:val="0"/>
      <w:divBdr>
        <w:top w:val="none" w:sz="0" w:space="0" w:color="auto"/>
        <w:left w:val="none" w:sz="0" w:space="0" w:color="auto"/>
        <w:bottom w:val="none" w:sz="0" w:space="0" w:color="auto"/>
        <w:right w:val="none" w:sz="0" w:space="0" w:color="auto"/>
      </w:divBdr>
    </w:div>
    <w:div w:id="1820077367">
      <w:bodyDiv w:val="1"/>
      <w:marLeft w:val="0"/>
      <w:marRight w:val="0"/>
      <w:marTop w:val="0"/>
      <w:marBottom w:val="0"/>
      <w:divBdr>
        <w:top w:val="none" w:sz="0" w:space="0" w:color="auto"/>
        <w:left w:val="none" w:sz="0" w:space="0" w:color="auto"/>
        <w:bottom w:val="none" w:sz="0" w:space="0" w:color="auto"/>
        <w:right w:val="none" w:sz="0" w:space="0" w:color="auto"/>
      </w:divBdr>
    </w:div>
    <w:div w:id="2100908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image" Target="media/image14.jpg"/><Relationship Id="rId3" Type="http://schemas.openxmlformats.org/officeDocument/2006/relationships/settings" Target="settings.xml"/><Relationship Id="rId21" Type="http://schemas.openxmlformats.org/officeDocument/2006/relationships/image" Target="media/image17.jpg"/><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image" Target="media/image13.png"/><Relationship Id="rId2" Type="http://schemas.openxmlformats.org/officeDocument/2006/relationships/styles" Target="styles.xml"/><Relationship Id="rId16" Type="http://schemas.openxmlformats.org/officeDocument/2006/relationships/image" Target="media/image12.png"/><Relationship Id="rId20" Type="http://schemas.openxmlformats.org/officeDocument/2006/relationships/image" Target="media/image16.png"/><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image" Target="media/image11.png"/><Relationship Id="rId23" Type="http://schemas.openxmlformats.org/officeDocument/2006/relationships/theme" Target="theme/theme1.xml"/><Relationship Id="rId10" Type="http://schemas.openxmlformats.org/officeDocument/2006/relationships/image" Target="media/image6.png"/><Relationship Id="rId19" Type="http://schemas.openxmlformats.org/officeDocument/2006/relationships/image" Target="media/image15.jp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 Id="rId22"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13</Pages>
  <Words>920</Words>
  <Characters>5250</Characters>
  <Application>Microsoft Office Word</Application>
  <DocSecurity>0</DocSecurity>
  <Lines>43</Lines>
  <Paragraphs>12</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Hospices Civils de Lyon</Company>
  <LinksUpToDate>false</LinksUpToDate>
  <CharactersWithSpaces>6158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PLESA, Adriana</dc:creator>
  <cp:keywords/>
  <dc:description/>
  <cp:lastModifiedBy>Chaitra  Bandiwadekar</cp:lastModifiedBy>
  <cp:revision>5</cp:revision>
  <dcterms:created xsi:type="dcterms:W3CDTF">2026-05-11T08:12:00Z</dcterms:created>
  <dcterms:modified xsi:type="dcterms:W3CDTF">2026-06-24T06:37:00Z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9c91304d-5b11-4350-9850-67ef9d1c30b8</vt:lpwstr>
  </property>
</Properties>
</file>